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0D" w:rsidRPr="00686357" w:rsidRDefault="00B9390D" w:rsidP="00503CD1">
      <w:pPr>
        <w:autoSpaceDE w:val="0"/>
        <w:autoSpaceDN w:val="0"/>
        <w:adjustRightInd w:val="0"/>
        <w:spacing w:after="0" w:line="240" w:lineRule="auto"/>
        <w:jc w:val="both"/>
        <w:rPr>
          <w:rFonts w:ascii="Times New Roman" w:hAnsi="Times New Roman" w:cs="Times New Roman"/>
          <w:b/>
        </w:rPr>
      </w:pPr>
    </w:p>
    <w:p w:rsidR="00464E47" w:rsidRPr="00686357" w:rsidRDefault="00464E47" w:rsidP="00503CD1">
      <w:pPr>
        <w:pStyle w:val="Default"/>
        <w:jc w:val="both"/>
        <w:rPr>
          <w:b/>
          <w:sz w:val="22"/>
          <w:szCs w:val="22"/>
        </w:rPr>
      </w:pPr>
      <w:r w:rsidRPr="00686357">
        <w:rPr>
          <w:b/>
          <w:sz w:val="22"/>
          <w:szCs w:val="22"/>
        </w:rPr>
        <w:t>I</w:t>
      </w:r>
      <w:r w:rsidR="0089422A">
        <w:rPr>
          <w:b/>
          <w:sz w:val="22"/>
          <w:szCs w:val="22"/>
        </w:rPr>
        <w:t>ndian</w:t>
      </w:r>
      <w:r w:rsidRPr="00686357">
        <w:rPr>
          <w:b/>
          <w:sz w:val="22"/>
          <w:szCs w:val="22"/>
        </w:rPr>
        <w:t xml:space="preserve"> OFDI in G</w:t>
      </w:r>
      <w:r w:rsidR="0089422A">
        <w:rPr>
          <w:b/>
          <w:sz w:val="22"/>
          <w:szCs w:val="22"/>
        </w:rPr>
        <w:t>ermany</w:t>
      </w:r>
    </w:p>
    <w:p w:rsidR="00464E47" w:rsidRPr="00686357" w:rsidRDefault="00464E47" w:rsidP="00503CD1">
      <w:pPr>
        <w:pStyle w:val="Default"/>
        <w:jc w:val="both"/>
        <w:rPr>
          <w:sz w:val="22"/>
          <w:szCs w:val="22"/>
        </w:rPr>
      </w:pPr>
    </w:p>
    <w:p w:rsidR="00B9390D" w:rsidRPr="00686357" w:rsidRDefault="00B9390D" w:rsidP="00503CD1">
      <w:pPr>
        <w:autoSpaceDE w:val="0"/>
        <w:autoSpaceDN w:val="0"/>
        <w:adjustRightInd w:val="0"/>
        <w:spacing w:after="0" w:line="240" w:lineRule="auto"/>
        <w:jc w:val="both"/>
        <w:rPr>
          <w:rFonts w:ascii="Times New Roman" w:hAnsi="Times New Roman" w:cs="Times New Roman"/>
          <w:b/>
        </w:rPr>
      </w:pPr>
    </w:p>
    <w:p w:rsidR="002C4700" w:rsidRDefault="002C4700" w:rsidP="00503CD1">
      <w:pPr>
        <w:jc w:val="both"/>
        <w:rPr>
          <w:rFonts w:ascii="Times New Roman" w:hAnsi="Times New Roman" w:cs="Times New Roman"/>
          <w:b/>
          <w:sz w:val="24"/>
          <w:szCs w:val="24"/>
        </w:rPr>
      </w:pPr>
      <w:r w:rsidRPr="00B35AE0">
        <w:rPr>
          <w:rFonts w:ascii="Times New Roman" w:hAnsi="Times New Roman" w:cs="Times New Roman"/>
          <w:b/>
          <w:sz w:val="24"/>
          <w:szCs w:val="24"/>
        </w:rPr>
        <w:t xml:space="preserve">Ritam Garg </w:t>
      </w:r>
    </w:p>
    <w:p w:rsidR="002C4700" w:rsidRPr="00B35AE0" w:rsidRDefault="002C4700" w:rsidP="00503CD1">
      <w:pPr>
        <w:jc w:val="both"/>
        <w:rPr>
          <w:rFonts w:ascii="Times New Roman" w:hAnsi="Times New Roman" w:cs="Times New Roman"/>
          <w:sz w:val="24"/>
          <w:szCs w:val="24"/>
        </w:rPr>
      </w:pPr>
      <w:r w:rsidRPr="00B35AE0">
        <w:rPr>
          <w:rFonts w:ascii="Times New Roman" w:hAnsi="Times New Roman" w:cs="Times New Roman"/>
          <w:sz w:val="24"/>
          <w:szCs w:val="24"/>
        </w:rPr>
        <w:t>University of Erlangen-Nürnberg, Department of International Man</w:t>
      </w:r>
      <w:r>
        <w:rPr>
          <w:rFonts w:ascii="Times New Roman" w:hAnsi="Times New Roman" w:cs="Times New Roman"/>
          <w:sz w:val="24"/>
          <w:szCs w:val="24"/>
        </w:rPr>
        <w:softHyphen/>
      </w:r>
      <w:r w:rsidRPr="00B35AE0">
        <w:rPr>
          <w:rFonts w:ascii="Times New Roman" w:hAnsi="Times New Roman" w:cs="Times New Roman"/>
          <w:sz w:val="24"/>
          <w:szCs w:val="24"/>
        </w:rPr>
        <w:t xml:space="preserve">agement, Lange Gasse 20, 90403 Nürnberg, Germany, </w:t>
      </w:r>
      <w:r>
        <w:rPr>
          <w:rFonts w:ascii="Times New Roman" w:hAnsi="Times New Roman" w:cs="Times New Roman"/>
          <w:sz w:val="24"/>
          <w:szCs w:val="24"/>
        </w:rPr>
        <w:t xml:space="preserve">Tel +49 911 5302 456, </w:t>
      </w:r>
      <w:r w:rsidRPr="00B35AE0">
        <w:rPr>
          <w:rFonts w:ascii="Times New Roman" w:hAnsi="Times New Roman" w:cs="Times New Roman"/>
          <w:sz w:val="24"/>
          <w:szCs w:val="24"/>
        </w:rPr>
        <w:t xml:space="preserve">E-mail: </w:t>
      </w:r>
      <w:r>
        <w:rPr>
          <w:rFonts w:ascii="Times New Roman" w:hAnsi="Times New Roman" w:cs="Times New Roman"/>
          <w:sz w:val="24"/>
          <w:szCs w:val="24"/>
        </w:rPr>
        <w:t>ritam.garg</w:t>
      </w:r>
      <w:r w:rsidRPr="00B35AE0">
        <w:rPr>
          <w:rFonts w:ascii="Times New Roman" w:hAnsi="Times New Roman" w:cs="Times New Roman"/>
          <w:sz w:val="24"/>
          <w:szCs w:val="24"/>
        </w:rPr>
        <w:t>@fau.de</w:t>
      </w:r>
      <w:r>
        <w:rPr>
          <w:rFonts w:ascii="Times New Roman" w:hAnsi="Times New Roman" w:cs="Times New Roman"/>
          <w:sz w:val="24"/>
          <w:szCs w:val="24"/>
        </w:rPr>
        <w:t xml:space="preserve">, </w:t>
      </w:r>
      <w:r w:rsidRPr="00B35AE0">
        <w:rPr>
          <w:rFonts w:ascii="Times New Roman" w:hAnsi="Times New Roman" w:cs="Times New Roman"/>
          <w:sz w:val="24"/>
          <w:szCs w:val="24"/>
        </w:rPr>
        <w:t>www.im-fau.de</w:t>
      </w:r>
      <w:r>
        <w:rPr>
          <w:rFonts w:ascii="Times New Roman" w:hAnsi="Times New Roman" w:cs="Times New Roman"/>
          <w:sz w:val="24"/>
          <w:szCs w:val="24"/>
        </w:rPr>
        <w:t>.</w:t>
      </w:r>
    </w:p>
    <w:p w:rsidR="00B9390D" w:rsidRPr="00686357" w:rsidRDefault="00B9390D" w:rsidP="00503CD1">
      <w:pPr>
        <w:autoSpaceDE w:val="0"/>
        <w:autoSpaceDN w:val="0"/>
        <w:adjustRightInd w:val="0"/>
        <w:spacing w:after="0" w:line="240" w:lineRule="auto"/>
        <w:jc w:val="both"/>
        <w:rPr>
          <w:rFonts w:ascii="Times New Roman" w:hAnsi="Times New Roman" w:cs="Times New Roman"/>
          <w:b/>
        </w:rPr>
      </w:pPr>
    </w:p>
    <w:p w:rsidR="00B9390D" w:rsidRPr="00686357" w:rsidRDefault="00B9390D" w:rsidP="00503CD1">
      <w:pPr>
        <w:autoSpaceDE w:val="0"/>
        <w:autoSpaceDN w:val="0"/>
        <w:adjustRightInd w:val="0"/>
        <w:spacing w:after="0" w:line="240" w:lineRule="auto"/>
        <w:jc w:val="both"/>
        <w:rPr>
          <w:rFonts w:ascii="Times New Roman" w:hAnsi="Times New Roman" w:cs="Times New Roman"/>
          <w:b/>
        </w:rPr>
      </w:pPr>
    </w:p>
    <w:p w:rsidR="00B9390D" w:rsidRPr="00686357" w:rsidRDefault="00B9390D" w:rsidP="00503CD1">
      <w:pPr>
        <w:autoSpaceDE w:val="0"/>
        <w:autoSpaceDN w:val="0"/>
        <w:adjustRightInd w:val="0"/>
        <w:spacing w:after="0" w:line="240" w:lineRule="auto"/>
        <w:jc w:val="both"/>
        <w:rPr>
          <w:rFonts w:ascii="Times New Roman" w:hAnsi="Times New Roman" w:cs="Times New Roman"/>
          <w:b/>
        </w:rPr>
      </w:pPr>
    </w:p>
    <w:p w:rsidR="00B9390D" w:rsidRPr="00686357" w:rsidRDefault="00B9390D" w:rsidP="00503CD1">
      <w:pPr>
        <w:autoSpaceDE w:val="0"/>
        <w:autoSpaceDN w:val="0"/>
        <w:adjustRightInd w:val="0"/>
        <w:spacing w:after="0" w:line="240" w:lineRule="auto"/>
        <w:jc w:val="both"/>
        <w:rPr>
          <w:rFonts w:ascii="Times New Roman" w:hAnsi="Times New Roman" w:cs="Times New Roman"/>
          <w:b/>
        </w:rPr>
      </w:pPr>
    </w:p>
    <w:p w:rsidR="00B9390D" w:rsidRPr="00686357" w:rsidRDefault="00B9390D" w:rsidP="00503CD1">
      <w:pPr>
        <w:autoSpaceDE w:val="0"/>
        <w:autoSpaceDN w:val="0"/>
        <w:adjustRightInd w:val="0"/>
        <w:spacing w:after="0" w:line="240" w:lineRule="auto"/>
        <w:jc w:val="both"/>
        <w:rPr>
          <w:rFonts w:ascii="Times New Roman" w:hAnsi="Times New Roman" w:cs="Times New Roman"/>
          <w:b/>
        </w:rPr>
      </w:pPr>
    </w:p>
    <w:p w:rsidR="006737ED" w:rsidRPr="00686357" w:rsidRDefault="00464E47" w:rsidP="00503CD1">
      <w:pPr>
        <w:autoSpaceDE w:val="0"/>
        <w:autoSpaceDN w:val="0"/>
        <w:adjustRightInd w:val="0"/>
        <w:spacing w:after="0" w:line="480" w:lineRule="auto"/>
        <w:jc w:val="both"/>
        <w:rPr>
          <w:rFonts w:ascii="Times New Roman" w:hAnsi="Times New Roman" w:cs="Times New Roman"/>
          <w:b/>
        </w:rPr>
      </w:pPr>
      <w:r w:rsidRPr="00686357">
        <w:rPr>
          <w:rFonts w:ascii="Times New Roman" w:hAnsi="Times New Roman" w:cs="Times New Roman"/>
          <w:b/>
        </w:rPr>
        <w:t>A</w:t>
      </w:r>
      <w:r w:rsidR="006737ED" w:rsidRPr="00686357">
        <w:rPr>
          <w:rFonts w:ascii="Times New Roman" w:hAnsi="Times New Roman" w:cs="Times New Roman"/>
          <w:b/>
        </w:rPr>
        <w:t>bstract</w:t>
      </w:r>
    </w:p>
    <w:p w:rsidR="006737ED" w:rsidRPr="00686357" w:rsidRDefault="006737ED" w:rsidP="00503CD1">
      <w:pPr>
        <w:autoSpaceDE w:val="0"/>
        <w:autoSpaceDN w:val="0"/>
        <w:adjustRightInd w:val="0"/>
        <w:spacing w:after="0" w:line="480" w:lineRule="auto"/>
        <w:jc w:val="both"/>
        <w:rPr>
          <w:rFonts w:ascii="Times New Roman" w:hAnsi="Times New Roman" w:cs="Times New Roman"/>
        </w:rPr>
      </w:pPr>
    </w:p>
    <w:p w:rsidR="006737ED" w:rsidRPr="00686357" w:rsidRDefault="006737ED" w:rsidP="00503CD1">
      <w:pPr>
        <w:autoSpaceDE w:val="0"/>
        <w:autoSpaceDN w:val="0"/>
        <w:adjustRightInd w:val="0"/>
        <w:spacing w:after="0" w:line="480" w:lineRule="auto"/>
        <w:jc w:val="both"/>
        <w:rPr>
          <w:rFonts w:ascii="Times New Roman" w:hAnsi="Times New Roman" w:cs="Times New Roman"/>
        </w:rPr>
      </w:pPr>
      <w:r w:rsidRPr="00686357">
        <w:rPr>
          <w:rFonts w:ascii="Times New Roman" w:hAnsi="Times New Roman" w:cs="Times New Roman"/>
          <w:bCs/>
          <w:iCs/>
        </w:rPr>
        <w:t xml:space="preserve">India has emerged as a major player in the world economy, which is quite significant given its historically miniscule investment outflows as compared to other emerging economies, such as China. Indian firms have been increasingly active in their overseas </w:t>
      </w:r>
      <w:r w:rsidR="00A14BCC" w:rsidRPr="00686357">
        <w:rPr>
          <w:rFonts w:ascii="Times New Roman" w:hAnsi="Times New Roman" w:cs="Times New Roman"/>
          <w:bCs/>
          <w:iCs/>
        </w:rPr>
        <w:t>expeditions</w:t>
      </w:r>
      <w:r w:rsidRPr="00686357">
        <w:rPr>
          <w:rFonts w:ascii="Times New Roman" w:hAnsi="Times New Roman" w:cs="Times New Roman"/>
          <w:bCs/>
          <w:iCs/>
        </w:rPr>
        <w:t>, including investments through mergers and acquisitions (M&amp;As)</w:t>
      </w:r>
      <w:r w:rsidR="00A75DBA" w:rsidRPr="00686357">
        <w:rPr>
          <w:rFonts w:ascii="Times New Roman" w:hAnsi="Times New Roman" w:cs="Times New Roman"/>
          <w:bCs/>
          <w:iCs/>
        </w:rPr>
        <w:t xml:space="preserve"> and greenfield investments, </w:t>
      </w:r>
      <w:r w:rsidR="00544C55" w:rsidRPr="00686357">
        <w:rPr>
          <w:rFonts w:ascii="Times New Roman" w:hAnsi="Times New Roman" w:cs="Times New Roman"/>
          <w:bCs/>
          <w:iCs/>
        </w:rPr>
        <w:t>especially in Europe</w:t>
      </w:r>
      <w:r w:rsidRPr="00686357">
        <w:rPr>
          <w:rFonts w:ascii="Times New Roman" w:hAnsi="Times New Roman" w:cs="Times New Roman"/>
          <w:bCs/>
          <w:iCs/>
        </w:rPr>
        <w:t xml:space="preserve">. </w:t>
      </w:r>
      <w:r w:rsidR="00A12AC7" w:rsidRPr="00686357">
        <w:rPr>
          <w:rFonts w:ascii="Times New Roman" w:hAnsi="Times New Roman" w:cs="Times New Roman"/>
          <w:bCs/>
          <w:iCs/>
        </w:rPr>
        <w:t xml:space="preserve">It is expected that </w:t>
      </w:r>
      <w:r w:rsidRPr="00686357">
        <w:rPr>
          <w:rFonts w:ascii="Times New Roman" w:hAnsi="Times New Roman" w:cs="Times New Roman"/>
          <w:bCs/>
          <w:iCs/>
        </w:rPr>
        <w:t xml:space="preserve">India’s OFDI </w:t>
      </w:r>
      <w:r w:rsidR="00A12AC7" w:rsidRPr="00686357">
        <w:rPr>
          <w:rFonts w:ascii="Times New Roman" w:hAnsi="Times New Roman" w:cs="Times New Roman"/>
          <w:bCs/>
          <w:iCs/>
        </w:rPr>
        <w:t>would</w:t>
      </w:r>
      <w:r w:rsidRPr="00686357">
        <w:rPr>
          <w:rFonts w:ascii="Times New Roman" w:hAnsi="Times New Roman" w:cs="Times New Roman"/>
          <w:bCs/>
          <w:iCs/>
        </w:rPr>
        <w:t xml:space="preserve"> continue its rapid upward trend </w:t>
      </w:r>
      <w:r w:rsidR="00A12AC7" w:rsidRPr="00686357">
        <w:rPr>
          <w:rFonts w:ascii="Times New Roman" w:hAnsi="Times New Roman" w:cs="Times New Roman"/>
          <w:bCs/>
          <w:iCs/>
        </w:rPr>
        <w:t xml:space="preserve">despite the </w:t>
      </w:r>
      <w:r w:rsidRPr="00686357">
        <w:rPr>
          <w:rFonts w:ascii="Times New Roman" w:hAnsi="Times New Roman" w:cs="Times New Roman"/>
          <w:bCs/>
          <w:iCs/>
        </w:rPr>
        <w:t xml:space="preserve">policy </w:t>
      </w:r>
      <w:r w:rsidR="00A12AC7" w:rsidRPr="00686357">
        <w:rPr>
          <w:rFonts w:ascii="Times New Roman" w:hAnsi="Times New Roman" w:cs="Times New Roman"/>
          <w:bCs/>
          <w:iCs/>
        </w:rPr>
        <w:t>paralysis</w:t>
      </w:r>
      <w:r w:rsidRPr="00686357">
        <w:rPr>
          <w:rFonts w:ascii="Times New Roman" w:hAnsi="Times New Roman" w:cs="Times New Roman"/>
          <w:bCs/>
          <w:iCs/>
        </w:rPr>
        <w:t xml:space="preserve"> and </w:t>
      </w:r>
      <w:r w:rsidR="00A12AC7" w:rsidRPr="00686357">
        <w:rPr>
          <w:rFonts w:ascii="Times New Roman" w:hAnsi="Times New Roman" w:cs="Times New Roman"/>
          <w:bCs/>
          <w:iCs/>
        </w:rPr>
        <w:t xml:space="preserve">would </w:t>
      </w:r>
      <w:r w:rsidR="00A6704E" w:rsidRPr="00686357">
        <w:rPr>
          <w:rFonts w:ascii="Times New Roman" w:hAnsi="Times New Roman" w:cs="Times New Roman"/>
          <w:bCs/>
          <w:iCs/>
        </w:rPr>
        <w:t>strengthen the notion that India i</w:t>
      </w:r>
      <w:r w:rsidR="00A14BCC" w:rsidRPr="00686357">
        <w:rPr>
          <w:rFonts w:ascii="Times New Roman" w:hAnsi="Times New Roman" w:cs="Times New Roman"/>
          <w:bCs/>
          <w:iCs/>
        </w:rPr>
        <w:t>s a</w:t>
      </w:r>
      <w:r w:rsidR="00A12AC7" w:rsidRPr="00686357">
        <w:rPr>
          <w:rFonts w:ascii="Times New Roman" w:hAnsi="Times New Roman" w:cs="Times New Roman"/>
          <w:bCs/>
          <w:iCs/>
        </w:rPr>
        <w:t xml:space="preserve">n </w:t>
      </w:r>
      <w:r w:rsidRPr="00686357">
        <w:rPr>
          <w:rFonts w:ascii="Times New Roman" w:hAnsi="Times New Roman" w:cs="Times New Roman"/>
          <w:bCs/>
          <w:iCs/>
        </w:rPr>
        <w:t>emerg</w:t>
      </w:r>
      <w:r w:rsidR="00A12AC7" w:rsidRPr="00686357">
        <w:rPr>
          <w:rFonts w:ascii="Times New Roman" w:hAnsi="Times New Roman" w:cs="Times New Roman"/>
          <w:bCs/>
          <w:iCs/>
        </w:rPr>
        <w:t>ing</w:t>
      </w:r>
      <w:r w:rsidRPr="00686357">
        <w:rPr>
          <w:rFonts w:ascii="Times New Roman" w:hAnsi="Times New Roman" w:cs="Times New Roman"/>
          <w:bCs/>
          <w:iCs/>
        </w:rPr>
        <w:t xml:space="preserve"> </w:t>
      </w:r>
      <w:r w:rsidR="00A12AC7" w:rsidRPr="00686357">
        <w:rPr>
          <w:rFonts w:ascii="Times New Roman" w:hAnsi="Times New Roman" w:cs="Times New Roman"/>
          <w:bCs/>
          <w:iCs/>
        </w:rPr>
        <w:t xml:space="preserve">global power </w:t>
      </w:r>
      <w:r w:rsidRPr="00686357">
        <w:rPr>
          <w:rFonts w:ascii="Times New Roman" w:hAnsi="Times New Roman" w:cs="Times New Roman"/>
          <w:bCs/>
          <w:iCs/>
        </w:rPr>
        <w:t xml:space="preserve">of the world. </w:t>
      </w:r>
      <w:r w:rsidR="00544C55" w:rsidRPr="00686357">
        <w:rPr>
          <w:rFonts w:ascii="Times New Roman" w:hAnsi="Times New Roman" w:cs="Times New Roman"/>
          <w:bCs/>
          <w:iCs/>
        </w:rPr>
        <w:t xml:space="preserve">This study presents an exposition of Indian OFDI in general and in Germany in particular, covering </w:t>
      </w:r>
      <w:r w:rsidRPr="00686357">
        <w:rPr>
          <w:rFonts w:ascii="Times New Roman" w:hAnsi="Times New Roman" w:cs="Times New Roman"/>
          <w:bCs/>
          <w:iCs/>
        </w:rPr>
        <w:t xml:space="preserve">trends and </w:t>
      </w:r>
      <w:r w:rsidR="00DE6030" w:rsidRPr="00686357">
        <w:rPr>
          <w:rFonts w:ascii="Times New Roman" w:hAnsi="Times New Roman" w:cs="Times New Roman"/>
          <w:bCs/>
          <w:iCs/>
        </w:rPr>
        <w:t>i</w:t>
      </w:r>
      <w:r w:rsidRPr="00686357">
        <w:rPr>
          <w:rFonts w:ascii="Times New Roman" w:hAnsi="Times New Roman" w:cs="Times New Roman"/>
          <w:bCs/>
          <w:iCs/>
        </w:rPr>
        <w:t>ssues concerned.</w:t>
      </w:r>
    </w:p>
    <w:p w:rsidR="006737ED" w:rsidRPr="00686357" w:rsidRDefault="006737ED" w:rsidP="00503CD1">
      <w:pPr>
        <w:autoSpaceDE w:val="0"/>
        <w:autoSpaceDN w:val="0"/>
        <w:adjustRightInd w:val="0"/>
        <w:spacing w:after="0" w:line="480" w:lineRule="auto"/>
        <w:jc w:val="both"/>
        <w:rPr>
          <w:rFonts w:ascii="Times New Roman" w:hAnsi="Times New Roman" w:cs="Times New Roman"/>
        </w:rPr>
      </w:pPr>
    </w:p>
    <w:p w:rsidR="00AC41A4" w:rsidRPr="00686357" w:rsidRDefault="00AC41A4" w:rsidP="00503CD1">
      <w:pPr>
        <w:autoSpaceDE w:val="0"/>
        <w:autoSpaceDN w:val="0"/>
        <w:adjustRightInd w:val="0"/>
        <w:spacing w:after="0" w:line="480" w:lineRule="auto"/>
        <w:jc w:val="both"/>
        <w:rPr>
          <w:rFonts w:ascii="Times New Roman" w:hAnsi="Times New Roman" w:cs="Times New Roman"/>
          <w:b/>
        </w:rPr>
      </w:pPr>
    </w:p>
    <w:p w:rsidR="00AC41A4" w:rsidRPr="00686357" w:rsidRDefault="00AC41A4" w:rsidP="00503CD1">
      <w:pPr>
        <w:autoSpaceDE w:val="0"/>
        <w:autoSpaceDN w:val="0"/>
        <w:adjustRightInd w:val="0"/>
        <w:spacing w:after="0" w:line="480" w:lineRule="auto"/>
        <w:jc w:val="both"/>
        <w:rPr>
          <w:rFonts w:ascii="Times New Roman" w:hAnsi="Times New Roman" w:cs="Times New Roman"/>
          <w:b/>
        </w:rPr>
      </w:pPr>
      <w:r w:rsidRPr="00686357">
        <w:rPr>
          <w:rFonts w:ascii="Times New Roman" w:hAnsi="Times New Roman" w:cs="Times New Roman"/>
          <w:b/>
        </w:rPr>
        <w:t xml:space="preserve">Keywords: OFDI, </w:t>
      </w:r>
      <w:r w:rsidR="00AA5076" w:rsidRPr="00686357">
        <w:rPr>
          <w:rFonts w:ascii="Times New Roman" w:hAnsi="Times New Roman" w:cs="Times New Roman"/>
          <w:b/>
        </w:rPr>
        <w:t xml:space="preserve">India, </w:t>
      </w:r>
      <w:r w:rsidRPr="00686357">
        <w:rPr>
          <w:rFonts w:ascii="Times New Roman" w:hAnsi="Times New Roman" w:cs="Times New Roman"/>
          <w:b/>
        </w:rPr>
        <w:t>Germany</w:t>
      </w:r>
    </w:p>
    <w:p w:rsidR="00AC41A4" w:rsidRPr="00686357" w:rsidRDefault="00AC41A4" w:rsidP="00503CD1">
      <w:pPr>
        <w:autoSpaceDE w:val="0"/>
        <w:autoSpaceDN w:val="0"/>
        <w:adjustRightInd w:val="0"/>
        <w:spacing w:after="0" w:line="480" w:lineRule="auto"/>
        <w:jc w:val="both"/>
        <w:rPr>
          <w:rFonts w:ascii="Times New Roman" w:hAnsi="Times New Roman" w:cs="Times New Roman"/>
          <w:b/>
        </w:rPr>
      </w:pPr>
    </w:p>
    <w:p w:rsidR="00AC41A4" w:rsidRPr="00686357" w:rsidRDefault="00AC41A4" w:rsidP="00503CD1">
      <w:pPr>
        <w:autoSpaceDE w:val="0"/>
        <w:autoSpaceDN w:val="0"/>
        <w:adjustRightInd w:val="0"/>
        <w:spacing w:after="0" w:line="480" w:lineRule="auto"/>
        <w:jc w:val="both"/>
        <w:rPr>
          <w:rFonts w:ascii="Times New Roman" w:hAnsi="Times New Roman" w:cs="Times New Roman"/>
          <w:b/>
        </w:rPr>
      </w:pPr>
    </w:p>
    <w:p w:rsidR="00AC41A4" w:rsidRPr="00686357" w:rsidRDefault="00AC41A4" w:rsidP="00503CD1">
      <w:pPr>
        <w:autoSpaceDE w:val="0"/>
        <w:autoSpaceDN w:val="0"/>
        <w:adjustRightInd w:val="0"/>
        <w:spacing w:after="0" w:line="480" w:lineRule="auto"/>
        <w:jc w:val="both"/>
        <w:rPr>
          <w:rFonts w:ascii="Times New Roman" w:hAnsi="Times New Roman" w:cs="Times New Roman"/>
          <w:b/>
        </w:rPr>
      </w:pPr>
    </w:p>
    <w:p w:rsidR="00AC41A4" w:rsidRPr="00686357" w:rsidRDefault="00AC41A4" w:rsidP="00503CD1">
      <w:pPr>
        <w:autoSpaceDE w:val="0"/>
        <w:autoSpaceDN w:val="0"/>
        <w:adjustRightInd w:val="0"/>
        <w:spacing w:after="0" w:line="480" w:lineRule="auto"/>
        <w:jc w:val="both"/>
        <w:rPr>
          <w:rFonts w:ascii="Times New Roman" w:hAnsi="Times New Roman" w:cs="Times New Roman"/>
          <w:b/>
        </w:rPr>
      </w:pPr>
    </w:p>
    <w:p w:rsidR="00AC41A4" w:rsidRPr="00686357" w:rsidRDefault="00AC41A4" w:rsidP="00503CD1">
      <w:pPr>
        <w:autoSpaceDE w:val="0"/>
        <w:autoSpaceDN w:val="0"/>
        <w:adjustRightInd w:val="0"/>
        <w:spacing w:after="0" w:line="480" w:lineRule="auto"/>
        <w:jc w:val="both"/>
        <w:rPr>
          <w:rFonts w:ascii="Times New Roman" w:hAnsi="Times New Roman" w:cs="Times New Roman"/>
          <w:b/>
        </w:rPr>
      </w:pPr>
    </w:p>
    <w:p w:rsidR="00AC41A4" w:rsidRPr="00686357" w:rsidRDefault="00AC41A4" w:rsidP="00503CD1">
      <w:pPr>
        <w:autoSpaceDE w:val="0"/>
        <w:autoSpaceDN w:val="0"/>
        <w:adjustRightInd w:val="0"/>
        <w:spacing w:after="0" w:line="480" w:lineRule="auto"/>
        <w:jc w:val="both"/>
        <w:rPr>
          <w:rFonts w:ascii="Times New Roman" w:hAnsi="Times New Roman" w:cs="Times New Roman"/>
          <w:b/>
        </w:rPr>
      </w:pPr>
    </w:p>
    <w:p w:rsidR="00AC41A4" w:rsidRPr="00686357" w:rsidRDefault="00AC41A4" w:rsidP="00503CD1">
      <w:pPr>
        <w:autoSpaceDE w:val="0"/>
        <w:autoSpaceDN w:val="0"/>
        <w:adjustRightInd w:val="0"/>
        <w:spacing w:after="0" w:line="480" w:lineRule="auto"/>
        <w:jc w:val="both"/>
        <w:rPr>
          <w:rFonts w:ascii="Times New Roman" w:hAnsi="Times New Roman" w:cs="Times New Roman"/>
          <w:b/>
        </w:rPr>
      </w:pPr>
      <w:bookmarkStart w:id="0" w:name="_GoBack"/>
      <w:bookmarkEnd w:id="0"/>
    </w:p>
    <w:p w:rsidR="003620AF" w:rsidRPr="00686357" w:rsidRDefault="003620AF" w:rsidP="00503CD1">
      <w:pPr>
        <w:autoSpaceDE w:val="0"/>
        <w:autoSpaceDN w:val="0"/>
        <w:adjustRightInd w:val="0"/>
        <w:spacing w:after="0" w:line="480" w:lineRule="auto"/>
        <w:jc w:val="both"/>
        <w:rPr>
          <w:rFonts w:ascii="Times New Roman" w:hAnsi="Times New Roman" w:cs="Times New Roman"/>
          <w:b/>
        </w:rPr>
      </w:pPr>
      <w:r w:rsidRPr="00686357">
        <w:rPr>
          <w:rFonts w:ascii="Times New Roman" w:hAnsi="Times New Roman" w:cs="Times New Roman"/>
          <w:b/>
        </w:rPr>
        <w:t>Introduction</w:t>
      </w:r>
    </w:p>
    <w:p w:rsidR="00B45828" w:rsidRPr="00686357" w:rsidRDefault="00B45828" w:rsidP="00503CD1">
      <w:pPr>
        <w:autoSpaceDE w:val="0"/>
        <w:autoSpaceDN w:val="0"/>
        <w:adjustRightInd w:val="0"/>
        <w:spacing w:after="0" w:line="480" w:lineRule="auto"/>
        <w:jc w:val="both"/>
        <w:rPr>
          <w:rFonts w:ascii="Times New Roman" w:hAnsi="Times New Roman" w:cs="Times New Roman"/>
        </w:rPr>
      </w:pPr>
    </w:p>
    <w:p w:rsidR="009011C2" w:rsidRPr="00686357" w:rsidRDefault="00596A34" w:rsidP="00503CD1">
      <w:pPr>
        <w:spacing w:after="0" w:line="480" w:lineRule="auto"/>
        <w:jc w:val="both"/>
        <w:rPr>
          <w:rFonts w:ascii="Times New Roman" w:hAnsi="Times New Roman" w:cs="Times New Roman"/>
        </w:rPr>
      </w:pPr>
      <w:r>
        <w:rPr>
          <w:rFonts w:ascii="Times New Roman" w:hAnsi="Times New Roman" w:cs="Times New Roman"/>
        </w:rPr>
        <w:t xml:space="preserve">Firms from emerging markets have emerged as </w:t>
      </w:r>
      <w:r w:rsidR="00074EF6">
        <w:rPr>
          <w:rFonts w:ascii="Times New Roman" w:hAnsi="Times New Roman" w:cs="Times New Roman"/>
        </w:rPr>
        <w:t>important</w:t>
      </w:r>
      <w:r>
        <w:rPr>
          <w:rFonts w:ascii="Times New Roman" w:hAnsi="Times New Roman" w:cs="Times New Roman"/>
        </w:rPr>
        <w:t xml:space="preserve"> players in the </w:t>
      </w:r>
      <w:r w:rsidR="00074EF6">
        <w:rPr>
          <w:rFonts w:ascii="Times New Roman" w:hAnsi="Times New Roman" w:cs="Times New Roman"/>
        </w:rPr>
        <w:t>world economy</w:t>
      </w:r>
      <w:r>
        <w:rPr>
          <w:rFonts w:ascii="Times New Roman" w:hAnsi="Times New Roman" w:cs="Times New Roman"/>
        </w:rPr>
        <w:t>, stamping their authority over the global business environment, through bold and big acquisi</w:t>
      </w:r>
      <w:r w:rsidR="00074EF6">
        <w:rPr>
          <w:rFonts w:ascii="Times New Roman" w:hAnsi="Times New Roman" w:cs="Times New Roman"/>
        </w:rPr>
        <w:t xml:space="preserve">tions in the developed markets, </w:t>
      </w:r>
      <w:r w:rsidR="00074EF6" w:rsidRPr="00686357">
        <w:rPr>
          <w:rFonts w:ascii="Times New Roman" w:hAnsi="Times New Roman" w:cs="Times New Roman"/>
        </w:rPr>
        <w:t xml:space="preserve">and this has led to increased interest in their behavior by academics and policy makers </w:t>
      </w:r>
      <w:r w:rsidR="00074EF6">
        <w:rPr>
          <w:rFonts w:ascii="Times New Roman" w:hAnsi="Times New Roman" w:cs="Times New Roman"/>
        </w:rPr>
        <w:t xml:space="preserve">alike </w:t>
      </w:r>
      <w:r w:rsidR="00074EF6" w:rsidRPr="00686357">
        <w:rPr>
          <w:rFonts w:ascii="Times New Roman" w:hAnsi="Times New Roman" w:cs="Times New Roman"/>
        </w:rPr>
        <w:t>who are beginning to realize the important analytical and policy issues that affect the world economy due to these firms.</w:t>
      </w:r>
      <w:r w:rsidR="00074EF6">
        <w:rPr>
          <w:rFonts w:ascii="Times New Roman" w:hAnsi="Times New Roman" w:cs="Times New Roman"/>
        </w:rPr>
        <w:t xml:space="preserve"> </w:t>
      </w:r>
      <w:r w:rsidR="001031CF">
        <w:rPr>
          <w:rFonts w:ascii="Times New Roman" w:hAnsi="Times New Roman" w:cs="Times New Roman"/>
        </w:rPr>
        <w:t xml:space="preserve">Also, there has been a significant increase in the FDI flows from these markets owing to the overseas activities of their firms. </w:t>
      </w:r>
      <w:r w:rsidR="0062419D">
        <w:rPr>
          <w:rFonts w:ascii="Times New Roman" w:hAnsi="Times New Roman" w:cs="Times New Roman"/>
        </w:rPr>
        <w:t xml:space="preserve">According to Ramamurti (2012, p. 42) </w:t>
      </w:r>
      <w:r w:rsidR="0062419D">
        <w:rPr>
          <w:rFonts w:ascii="Times New Roman" w:eastAsia="Times New Roman" w:hAnsi="Times New Roman" w:cs="Times New Roman"/>
        </w:rPr>
        <w:t>i</w:t>
      </w:r>
      <w:r w:rsidR="0062419D" w:rsidRPr="0062419D">
        <w:rPr>
          <w:rFonts w:ascii="Times New Roman" w:eastAsia="Times New Roman" w:hAnsi="Times New Roman" w:cs="Times New Roman"/>
        </w:rPr>
        <w:t>n 2010, emerging markets</w:t>
      </w:r>
      <w:r w:rsidR="0062419D">
        <w:rPr>
          <w:rFonts w:ascii="Times New Roman" w:eastAsia="Times New Roman" w:hAnsi="Times New Roman" w:cs="Times New Roman"/>
        </w:rPr>
        <w:t xml:space="preserve"> a</w:t>
      </w:r>
      <w:r w:rsidR="0062419D" w:rsidRPr="0062419D">
        <w:rPr>
          <w:rFonts w:ascii="Times New Roman" w:eastAsia="Times New Roman" w:hAnsi="Times New Roman" w:cs="Times New Roman"/>
        </w:rPr>
        <w:t>ccounted for 25 p</w:t>
      </w:r>
      <w:r w:rsidR="0062419D">
        <w:rPr>
          <w:rFonts w:ascii="Times New Roman" w:eastAsia="Times New Roman" w:hAnsi="Times New Roman" w:cs="Times New Roman"/>
        </w:rPr>
        <w:t>ercent of global FDI flows, com</w:t>
      </w:r>
      <w:r w:rsidR="0062419D" w:rsidRPr="0062419D">
        <w:rPr>
          <w:rFonts w:ascii="Times New Roman" w:eastAsia="Times New Roman" w:hAnsi="Times New Roman" w:cs="Times New Roman"/>
        </w:rPr>
        <w:t>pared to only</w:t>
      </w:r>
      <w:r w:rsidR="0062419D">
        <w:rPr>
          <w:rFonts w:ascii="Times New Roman" w:eastAsia="Times New Roman" w:hAnsi="Times New Roman" w:cs="Times New Roman"/>
        </w:rPr>
        <w:t xml:space="preserve"> 6 percent in 2001.</w:t>
      </w:r>
      <w:r w:rsidR="00B45828" w:rsidRPr="00686357">
        <w:rPr>
          <w:rFonts w:ascii="Times New Roman" w:hAnsi="Times New Roman" w:cs="Times New Roman"/>
        </w:rPr>
        <w:t xml:space="preserve"> </w:t>
      </w:r>
      <w:r w:rsidR="00A43516" w:rsidRPr="00686357">
        <w:rPr>
          <w:rFonts w:ascii="Times New Roman" w:hAnsi="Times New Roman" w:cs="Times New Roman"/>
        </w:rPr>
        <w:t xml:space="preserve">Furthermore, it is estimated </w:t>
      </w:r>
      <w:r w:rsidR="00CF35EB" w:rsidRPr="00686357">
        <w:rPr>
          <w:rFonts w:ascii="Times New Roman" w:hAnsi="Times New Roman" w:cs="Times New Roman"/>
        </w:rPr>
        <w:t xml:space="preserve">by </w:t>
      </w:r>
      <w:r w:rsidR="00E71F5A" w:rsidRPr="00686357">
        <w:rPr>
          <w:rFonts w:ascii="Times New Roman" w:hAnsi="Times New Roman" w:cs="Times New Roman"/>
        </w:rPr>
        <w:t>Mckinsey</w:t>
      </w:r>
      <w:r w:rsidR="005A702A" w:rsidRPr="00686357">
        <w:rPr>
          <w:rFonts w:ascii="Times New Roman" w:hAnsi="Times New Roman" w:cs="Times New Roman"/>
        </w:rPr>
        <w:t xml:space="preserve"> </w:t>
      </w:r>
      <w:r w:rsidR="007828DD" w:rsidRPr="00686357">
        <w:rPr>
          <w:rFonts w:ascii="Times New Roman" w:hAnsi="Times New Roman" w:cs="Times New Roman"/>
        </w:rPr>
        <w:t>global institute</w:t>
      </w:r>
      <w:r w:rsidR="00E71F5A" w:rsidRPr="00686357">
        <w:rPr>
          <w:rFonts w:ascii="Times New Roman" w:hAnsi="Times New Roman" w:cs="Times New Roman"/>
        </w:rPr>
        <w:t xml:space="preserve">, that by </w:t>
      </w:r>
      <w:r w:rsidR="00CF35EB" w:rsidRPr="00686357">
        <w:rPr>
          <w:rFonts w:ascii="Times New Roman" w:hAnsi="Times New Roman" w:cs="Times New Roman"/>
        </w:rPr>
        <w:t>2025, 45% of fortune 500 firms will be based in emerging markets</w:t>
      </w:r>
      <w:r w:rsidR="00406469" w:rsidRPr="00686357">
        <w:rPr>
          <w:rFonts w:ascii="Times New Roman" w:hAnsi="Times New Roman" w:cs="Times New Roman"/>
        </w:rPr>
        <w:t xml:space="preserve"> (MGI, 2013)</w:t>
      </w:r>
      <w:r w:rsidR="00A43516" w:rsidRPr="00686357">
        <w:rPr>
          <w:rFonts w:ascii="Times New Roman" w:hAnsi="Times New Roman" w:cs="Times New Roman"/>
        </w:rPr>
        <w:t>.</w:t>
      </w:r>
    </w:p>
    <w:p w:rsidR="00B72F1C" w:rsidRPr="00686357" w:rsidRDefault="00B72F1C" w:rsidP="00503CD1">
      <w:pPr>
        <w:autoSpaceDE w:val="0"/>
        <w:autoSpaceDN w:val="0"/>
        <w:adjustRightInd w:val="0"/>
        <w:spacing w:after="0" w:line="480" w:lineRule="auto"/>
        <w:jc w:val="both"/>
        <w:rPr>
          <w:rFonts w:ascii="Times New Roman" w:hAnsi="Times New Roman" w:cs="Times New Roman"/>
        </w:rPr>
      </w:pPr>
    </w:p>
    <w:p w:rsidR="002C6A19" w:rsidRPr="00EC34B5" w:rsidRDefault="00520ACC" w:rsidP="00503CD1">
      <w:pPr>
        <w:spacing w:after="0" w:line="480" w:lineRule="auto"/>
        <w:jc w:val="both"/>
        <w:rPr>
          <w:rFonts w:ascii="Times New Roman" w:eastAsia="Times New Roman" w:hAnsi="Times New Roman" w:cs="Times New Roman"/>
        </w:rPr>
      </w:pPr>
      <w:r w:rsidRPr="00EC34B5">
        <w:rPr>
          <w:rFonts w:ascii="Times New Roman" w:eastAsia="Times New Roman" w:hAnsi="Times New Roman" w:cs="Times New Roman"/>
        </w:rPr>
        <w:t xml:space="preserve">Firms from </w:t>
      </w:r>
      <w:r w:rsidR="000208EC" w:rsidRPr="00EC34B5">
        <w:rPr>
          <w:rFonts w:ascii="Times New Roman" w:eastAsia="Times New Roman" w:hAnsi="Times New Roman" w:cs="Times New Roman"/>
        </w:rPr>
        <w:t>emerging</w:t>
      </w:r>
      <w:r w:rsidRPr="00EC34B5">
        <w:rPr>
          <w:rFonts w:ascii="Times New Roman" w:eastAsia="Times New Roman" w:hAnsi="Times New Roman" w:cs="Times New Roman"/>
        </w:rPr>
        <w:t xml:space="preserve"> </w:t>
      </w:r>
      <w:r w:rsidR="00424DB2" w:rsidRPr="00EC34B5">
        <w:rPr>
          <w:rFonts w:ascii="Times New Roman" w:eastAsia="Times New Roman" w:hAnsi="Times New Roman" w:cs="Times New Roman"/>
        </w:rPr>
        <w:t>markets</w:t>
      </w:r>
      <w:r w:rsidRPr="00EC34B5">
        <w:rPr>
          <w:rFonts w:ascii="Times New Roman" w:eastAsia="Times New Roman" w:hAnsi="Times New Roman" w:cs="Times New Roman"/>
        </w:rPr>
        <w:t xml:space="preserve"> had already </w:t>
      </w:r>
      <w:r w:rsidR="00FB25DC" w:rsidRPr="00EC34B5">
        <w:rPr>
          <w:rFonts w:ascii="Times New Roman" w:eastAsia="Times New Roman" w:hAnsi="Times New Roman" w:cs="Times New Roman"/>
        </w:rPr>
        <w:t>started to expand overseas in t</w:t>
      </w:r>
      <w:r w:rsidRPr="00EC34B5">
        <w:rPr>
          <w:rFonts w:ascii="Times New Roman" w:eastAsia="Times New Roman" w:hAnsi="Times New Roman" w:cs="Times New Roman"/>
        </w:rPr>
        <w:t xml:space="preserve">he </w:t>
      </w:r>
      <w:r w:rsidR="00FB25DC" w:rsidRPr="00EC34B5">
        <w:rPr>
          <w:rFonts w:ascii="Times New Roman" w:eastAsia="Times New Roman" w:hAnsi="Times New Roman" w:cs="Times New Roman"/>
        </w:rPr>
        <w:t>last decades of the 20</w:t>
      </w:r>
      <w:r w:rsidR="00FB25DC" w:rsidRPr="00EC34B5">
        <w:rPr>
          <w:rFonts w:ascii="Times New Roman" w:eastAsia="Times New Roman" w:hAnsi="Times New Roman" w:cs="Times New Roman"/>
          <w:vertAlign w:val="superscript"/>
        </w:rPr>
        <w:t>th</w:t>
      </w:r>
      <w:r w:rsidR="00FB25DC" w:rsidRPr="00EC34B5">
        <w:rPr>
          <w:rFonts w:ascii="Times New Roman" w:eastAsia="Times New Roman" w:hAnsi="Times New Roman" w:cs="Times New Roman"/>
        </w:rPr>
        <w:t xml:space="preserve"> century during the 1980s and 1990s (Jormanainen &amp; Koveshnikov, 2012)</w:t>
      </w:r>
      <w:r w:rsidRPr="00EC34B5">
        <w:rPr>
          <w:rFonts w:ascii="Times New Roman" w:eastAsia="Times New Roman" w:hAnsi="Times New Roman" w:cs="Times New Roman"/>
        </w:rPr>
        <w:t xml:space="preserve">. </w:t>
      </w:r>
      <w:r w:rsidR="009E74F8">
        <w:rPr>
          <w:rFonts w:ascii="Times New Roman" w:eastAsia="Times New Roman" w:hAnsi="Times New Roman" w:cs="Times New Roman"/>
        </w:rPr>
        <w:t xml:space="preserve">Of all the emerging markets, </w:t>
      </w:r>
      <w:r w:rsidR="002C6A19">
        <w:rPr>
          <w:rFonts w:ascii="Times New Roman" w:eastAsia="Times New Roman" w:hAnsi="Times New Roman" w:cs="Times New Roman"/>
        </w:rPr>
        <w:t xml:space="preserve">China and India </w:t>
      </w:r>
      <w:r w:rsidR="009E74F8">
        <w:rPr>
          <w:rFonts w:ascii="Times New Roman" w:eastAsia="Times New Roman" w:hAnsi="Times New Roman" w:cs="Times New Roman"/>
        </w:rPr>
        <w:t xml:space="preserve">have </w:t>
      </w:r>
      <w:r w:rsidR="002C6A19">
        <w:rPr>
          <w:rFonts w:ascii="Times New Roman" w:eastAsia="Times New Roman" w:hAnsi="Times New Roman" w:cs="Times New Roman"/>
        </w:rPr>
        <w:t xml:space="preserve">clearly emerged as the most prominent actors in the global </w:t>
      </w:r>
      <w:r w:rsidR="002C6A19" w:rsidRPr="002C6A19">
        <w:rPr>
          <w:rFonts w:ascii="Times New Roman" w:eastAsia="Times New Roman" w:hAnsi="Times New Roman" w:cs="Times New Roman"/>
        </w:rPr>
        <w:t>arena (</w:t>
      </w:r>
      <w:r w:rsidR="002C6A19" w:rsidRPr="002C6A19">
        <w:rPr>
          <w:rFonts w:ascii="Times New Roman" w:hAnsi="Times New Roman" w:cs="Times New Roman"/>
        </w:rPr>
        <w:t>De Beule &amp; Van Den Bulcke, 2012).</w:t>
      </w:r>
      <w:r w:rsidR="002C6A19">
        <w:t xml:space="preserve"> </w:t>
      </w:r>
      <w:r w:rsidR="00F47889" w:rsidRPr="00EC34B5">
        <w:rPr>
          <w:rFonts w:ascii="Times New Roman" w:eastAsia="Times New Roman" w:hAnsi="Times New Roman" w:cs="Times New Roman"/>
        </w:rPr>
        <w:t>T</w:t>
      </w:r>
      <w:r w:rsidR="00F47889" w:rsidRPr="00EC34B5">
        <w:rPr>
          <w:rFonts w:ascii="Times New Roman" w:hAnsi="Times New Roman" w:cs="Times New Roman"/>
        </w:rPr>
        <w:t xml:space="preserve">he announcement of the Go Global policy in 2001 marked a significant change in the development of Chinese OFDI. Once the policy was in place the pace of Chinese OFDI began to rise </w:t>
      </w:r>
      <w:r w:rsidR="000C125F">
        <w:rPr>
          <w:rFonts w:ascii="Times New Roman" w:hAnsi="Times New Roman" w:cs="Times New Roman"/>
        </w:rPr>
        <w:t xml:space="preserve">significantly </w:t>
      </w:r>
      <w:r w:rsidR="00F47889" w:rsidRPr="00EC34B5">
        <w:rPr>
          <w:rFonts w:ascii="Times New Roman" w:hAnsi="Times New Roman" w:cs="Times New Roman"/>
        </w:rPr>
        <w:t>(Berning &amp; Holtbrügge, 2012). Similarly, the economic reforms of 1991</w:t>
      </w:r>
      <w:r w:rsidR="002C6A19">
        <w:rPr>
          <w:rFonts w:ascii="Times New Roman" w:hAnsi="Times New Roman" w:cs="Times New Roman"/>
        </w:rPr>
        <w:t xml:space="preserve">, and subsequently, the guidelines for Indian firms to invest abroad, provided for automatic approval of OFDI proposals up to US$ 100 million by July 2002, and by 2004 Indian firms were allowed to invest abroad up to 100% of their net worth (Kumar, 2007). </w:t>
      </w:r>
      <w:r w:rsidR="002C6A19" w:rsidRPr="002C6A19">
        <w:rPr>
          <w:rFonts w:ascii="Times New Roman" w:hAnsi="Times New Roman" w:cs="Times New Roman"/>
        </w:rPr>
        <w:t xml:space="preserve">With few exceptions, the limit of </w:t>
      </w:r>
      <w:r w:rsidR="002C6A19">
        <w:rPr>
          <w:rFonts w:ascii="Times New Roman" w:hAnsi="Times New Roman" w:cs="Times New Roman"/>
        </w:rPr>
        <w:t xml:space="preserve">India </w:t>
      </w:r>
      <w:r w:rsidR="002C6A19" w:rsidRPr="002C6A19">
        <w:rPr>
          <w:rFonts w:ascii="Times New Roman" w:hAnsi="Times New Roman" w:cs="Times New Roman"/>
        </w:rPr>
        <w:t>OFDI has been increased to 400% since then</w:t>
      </w:r>
      <w:r w:rsidR="002C6A19">
        <w:rPr>
          <w:rFonts w:ascii="Times New Roman" w:hAnsi="Times New Roman" w:cs="Times New Roman"/>
        </w:rPr>
        <w:t xml:space="preserve"> (Holtbrügge et al., 2013). </w:t>
      </w:r>
      <w:r w:rsidR="00C838E9">
        <w:rPr>
          <w:rFonts w:ascii="Times New Roman" w:hAnsi="Times New Roman" w:cs="Times New Roman"/>
        </w:rPr>
        <w:t xml:space="preserve">The magnitude as well as their numbers of OFDI flows from both the countries has grown considerably over the past few years, signaling an impressive growth of the </w:t>
      </w:r>
      <w:r w:rsidR="00026CEE">
        <w:rPr>
          <w:rFonts w:ascii="Times New Roman" w:hAnsi="Times New Roman" w:cs="Times New Roman"/>
        </w:rPr>
        <w:t xml:space="preserve">respective </w:t>
      </w:r>
      <w:r w:rsidR="00C838E9">
        <w:rPr>
          <w:rFonts w:ascii="Times New Roman" w:hAnsi="Times New Roman" w:cs="Times New Roman"/>
        </w:rPr>
        <w:t>economies, even though most of rest of th</w:t>
      </w:r>
      <w:r w:rsidR="00026CEE">
        <w:rPr>
          <w:rFonts w:ascii="Times New Roman" w:hAnsi="Times New Roman" w:cs="Times New Roman"/>
        </w:rPr>
        <w:t xml:space="preserve">e world was in economic turmoil, strengthening the </w:t>
      </w:r>
      <w:r w:rsidR="00026CEE">
        <w:rPr>
          <w:rFonts w:ascii="Times New Roman" w:hAnsi="Times New Roman" w:cs="Times New Roman"/>
        </w:rPr>
        <w:lastRenderedPageBreak/>
        <w:t xml:space="preserve">notion that firms from these countries will emerge as the drivers of the global economy in the next decade </w:t>
      </w:r>
      <w:r w:rsidR="00026CEE" w:rsidRPr="00EC34B5">
        <w:rPr>
          <w:rFonts w:ascii="Times New Roman" w:eastAsia="Times New Roman" w:hAnsi="Times New Roman" w:cs="Times New Roman"/>
        </w:rPr>
        <w:t>(Jormanainen &amp; Koveshnikov, 2012</w:t>
      </w:r>
      <w:r w:rsidR="00026CEE">
        <w:rPr>
          <w:rFonts w:ascii="Times New Roman" w:eastAsia="Times New Roman" w:hAnsi="Times New Roman" w:cs="Times New Roman"/>
        </w:rPr>
        <w:t>).</w:t>
      </w:r>
    </w:p>
    <w:p w:rsidR="006C4FAA" w:rsidRPr="00686357" w:rsidRDefault="00D30AC3" w:rsidP="00503CD1">
      <w:pPr>
        <w:spacing w:after="0" w:line="480" w:lineRule="auto"/>
        <w:jc w:val="both"/>
        <w:rPr>
          <w:rFonts w:ascii="Times New Roman" w:hAnsi="Times New Roman" w:cs="Times New Roman"/>
        </w:rPr>
      </w:pPr>
      <w:r>
        <w:rPr>
          <w:rFonts w:ascii="Times New Roman" w:hAnsi="Times New Roman" w:cs="Times New Roman"/>
        </w:rPr>
        <w:t>Scholars agree that this notion is not too farfetched, as is evident by the ambitions and the actions of the firms from these markets. In the same vein, f</w:t>
      </w:r>
      <w:r w:rsidR="001977AE" w:rsidRPr="00686357">
        <w:rPr>
          <w:rFonts w:ascii="Times New Roman" w:hAnsi="Times New Roman" w:cs="Times New Roman"/>
        </w:rPr>
        <w:t xml:space="preserve">irms from India have become very active in their overseas endeavors post liberalization of the Indian economy. Acquisitions of firms bigger in both scale and size by the Indian firms in the last decade has strongly established the position of Indian firms as serious </w:t>
      </w:r>
      <w:r w:rsidR="004147A3" w:rsidRPr="00686357">
        <w:rPr>
          <w:rFonts w:ascii="Times New Roman" w:hAnsi="Times New Roman" w:cs="Times New Roman"/>
        </w:rPr>
        <w:t>contenders</w:t>
      </w:r>
      <w:r w:rsidR="001977AE" w:rsidRPr="00686357">
        <w:rPr>
          <w:rFonts w:ascii="Times New Roman" w:hAnsi="Times New Roman" w:cs="Times New Roman"/>
        </w:rPr>
        <w:t xml:space="preserve"> and India as a global economic power. Furthermore, Indian firms have also proven that they are capable of turning around the fortunes of </w:t>
      </w:r>
      <w:r w:rsidR="00F32543">
        <w:rPr>
          <w:rFonts w:ascii="Times New Roman" w:hAnsi="Times New Roman" w:cs="Times New Roman"/>
        </w:rPr>
        <w:t>acquired</w:t>
      </w:r>
      <w:r w:rsidR="001977AE" w:rsidRPr="00686357">
        <w:rPr>
          <w:rFonts w:ascii="Times New Roman" w:hAnsi="Times New Roman" w:cs="Times New Roman"/>
        </w:rPr>
        <w:t xml:space="preserve"> firms, for example, Tata motors acquisition of UK based Jaguar Land Rover, has become one of the most successful case</w:t>
      </w:r>
      <w:r w:rsidR="00424DB2" w:rsidRPr="00686357">
        <w:rPr>
          <w:rFonts w:ascii="Times New Roman" w:hAnsi="Times New Roman" w:cs="Times New Roman"/>
        </w:rPr>
        <w:t>s</w:t>
      </w:r>
      <w:r w:rsidR="001977AE" w:rsidRPr="00686357">
        <w:rPr>
          <w:rFonts w:ascii="Times New Roman" w:hAnsi="Times New Roman" w:cs="Times New Roman"/>
        </w:rPr>
        <w:t xml:space="preserve"> of post-acquisition turnaround. </w:t>
      </w:r>
      <w:r w:rsidR="00424DB2" w:rsidRPr="00686357">
        <w:rPr>
          <w:rFonts w:ascii="Times New Roman" w:hAnsi="Times New Roman" w:cs="Times New Roman"/>
        </w:rPr>
        <w:t>As a result of considerable outward investments by the Indian firms, Indian became the world’s 21</w:t>
      </w:r>
      <w:r w:rsidR="00424DB2" w:rsidRPr="00686357">
        <w:rPr>
          <w:rFonts w:ascii="Times New Roman" w:hAnsi="Times New Roman" w:cs="Times New Roman"/>
          <w:vertAlign w:val="superscript"/>
        </w:rPr>
        <w:t>st</w:t>
      </w:r>
      <w:r w:rsidR="00424DB2" w:rsidRPr="00686357">
        <w:rPr>
          <w:rFonts w:ascii="Times New Roman" w:hAnsi="Times New Roman" w:cs="Times New Roman"/>
        </w:rPr>
        <w:t xml:space="preserve"> largest outward investor and </w:t>
      </w:r>
      <w:r w:rsidR="00A43516" w:rsidRPr="00686357">
        <w:rPr>
          <w:rFonts w:ascii="Times New Roman" w:hAnsi="Times New Roman" w:cs="Times New Roman"/>
        </w:rPr>
        <w:t xml:space="preserve">stands among the </w:t>
      </w:r>
      <w:r w:rsidR="001977AE" w:rsidRPr="00686357">
        <w:rPr>
          <w:rFonts w:ascii="Times New Roman" w:hAnsi="Times New Roman" w:cs="Times New Roman"/>
        </w:rPr>
        <w:t>g</w:t>
      </w:r>
      <w:r w:rsidR="00A43516" w:rsidRPr="00686357">
        <w:rPr>
          <w:rFonts w:ascii="Times New Roman" w:hAnsi="Times New Roman" w:cs="Times New Roman"/>
        </w:rPr>
        <w:t xml:space="preserve">iants of today’s economy. </w:t>
      </w:r>
      <w:r w:rsidR="00424DB2" w:rsidRPr="00686357">
        <w:rPr>
          <w:rFonts w:ascii="Times New Roman" w:hAnsi="Times New Roman" w:cs="Times New Roman"/>
        </w:rPr>
        <w:t>In</w:t>
      </w:r>
      <w:r w:rsidR="00A43516" w:rsidRPr="00686357">
        <w:rPr>
          <w:rFonts w:ascii="Times New Roman" w:hAnsi="Times New Roman" w:cs="Times New Roman"/>
        </w:rPr>
        <w:t xml:space="preserve"> the next </w:t>
      </w:r>
      <w:r w:rsidR="00424DB2" w:rsidRPr="00686357">
        <w:rPr>
          <w:rFonts w:ascii="Times New Roman" w:hAnsi="Times New Roman" w:cs="Times New Roman"/>
        </w:rPr>
        <w:t xml:space="preserve">paragraphs, </w:t>
      </w:r>
      <w:r w:rsidR="00143E91" w:rsidRPr="00686357">
        <w:rPr>
          <w:rFonts w:ascii="Times New Roman" w:hAnsi="Times New Roman" w:cs="Times New Roman"/>
        </w:rPr>
        <w:t>consolidated accounts of Indian OFDI in general and in Germany in particular have</w:t>
      </w:r>
      <w:r w:rsidR="00424DB2" w:rsidRPr="00686357">
        <w:rPr>
          <w:rFonts w:ascii="Times New Roman" w:hAnsi="Times New Roman" w:cs="Times New Roman"/>
        </w:rPr>
        <w:t xml:space="preserve"> been presented </w:t>
      </w:r>
      <w:r w:rsidR="00A43516" w:rsidRPr="00686357">
        <w:rPr>
          <w:rFonts w:ascii="Times New Roman" w:hAnsi="Times New Roman" w:cs="Times New Roman"/>
        </w:rPr>
        <w:t xml:space="preserve">to strengthen the </w:t>
      </w:r>
      <w:r w:rsidR="00424DB2" w:rsidRPr="00686357">
        <w:rPr>
          <w:rFonts w:ascii="Times New Roman" w:hAnsi="Times New Roman" w:cs="Times New Roman"/>
        </w:rPr>
        <w:t xml:space="preserve">position of India as an emerging global power. </w:t>
      </w:r>
    </w:p>
    <w:p w:rsidR="00424DB2" w:rsidRPr="00686357" w:rsidRDefault="00424DB2" w:rsidP="00503CD1">
      <w:pPr>
        <w:autoSpaceDE w:val="0"/>
        <w:autoSpaceDN w:val="0"/>
        <w:adjustRightInd w:val="0"/>
        <w:spacing w:after="0" w:line="480" w:lineRule="auto"/>
        <w:jc w:val="both"/>
        <w:rPr>
          <w:rFonts w:ascii="Times New Roman" w:hAnsi="Times New Roman" w:cs="Times New Roman"/>
        </w:rPr>
      </w:pPr>
    </w:p>
    <w:p w:rsidR="00A43516" w:rsidRDefault="00A43516" w:rsidP="00503CD1">
      <w:pPr>
        <w:autoSpaceDE w:val="0"/>
        <w:autoSpaceDN w:val="0"/>
        <w:adjustRightInd w:val="0"/>
        <w:spacing w:after="0" w:line="480" w:lineRule="auto"/>
        <w:jc w:val="both"/>
        <w:rPr>
          <w:rFonts w:ascii="Times New Roman" w:hAnsi="Times New Roman" w:cs="Times New Roman"/>
          <w:b/>
        </w:rPr>
      </w:pPr>
      <w:r w:rsidRPr="00686357">
        <w:rPr>
          <w:rFonts w:ascii="Times New Roman" w:hAnsi="Times New Roman" w:cs="Times New Roman"/>
          <w:b/>
        </w:rPr>
        <w:t>Indian OFDI</w:t>
      </w:r>
    </w:p>
    <w:p w:rsidR="00303A97" w:rsidRPr="00686357" w:rsidRDefault="00303A97" w:rsidP="00503CD1">
      <w:pPr>
        <w:autoSpaceDE w:val="0"/>
        <w:autoSpaceDN w:val="0"/>
        <w:adjustRightInd w:val="0"/>
        <w:spacing w:after="0" w:line="480" w:lineRule="auto"/>
        <w:jc w:val="both"/>
        <w:rPr>
          <w:rFonts w:ascii="Times New Roman" w:hAnsi="Times New Roman" w:cs="Times New Roman"/>
          <w:b/>
        </w:rPr>
      </w:pPr>
    </w:p>
    <w:p w:rsidR="00F761DD" w:rsidRDefault="00A43516" w:rsidP="00503CD1">
      <w:pPr>
        <w:autoSpaceDE w:val="0"/>
        <w:autoSpaceDN w:val="0"/>
        <w:adjustRightInd w:val="0"/>
        <w:spacing w:after="0" w:line="480" w:lineRule="auto"/>
        <w:jc w:val="both"/>
        <w:rPr>
          <w:rFonts w:ascii="Times New Roman" w:hAnsi="Times New Roman" w:cs="Times New Roman"/>
        </w:rPr>
      </w:pPr>
      <w:r w:rsidRPr="00686357">
        <w:rPr>
          <w:rFonts w:ascii="Times New Roman" w:hAnsi="Times New Roman" w:cs="Times New Roman"/>
        </w:rPr>
        <w:t xml:space="preserve">Although OFDI from India has accelerated since 1991, it is not a </w:t>
      </w:r>
      <w:r w:rsidR="00960910" w:rsidRPr="00686357">
        <w:rPr>
          <w:rFonts w:ascii="Times New Roman" w:hAnsi="Times New Roman" w:cs="Times New Roman"/>
        </w:rPr>
        <w:t>new</w:t>
      </w:r>
      <w:r w:rsidRPr="00686357">
        <w:rPr>
          <w:rFonts w:ascii="Times New Roman" w:hAnsi="Times New Roman" w:cs="Times New Roman"/>
        </w:rPr>
        <w:t xml:space="preserve"> phenomenon. In fact, </w:t>
      </w:r>
      <w:r w:rsidR="000E0696" w:rsidRPr="00686357">
        <w:rPr>
          <w:rFonts w:ascii="Times New Roman" w:hAnsi="Times New Roman" w:cs="Times New Roman"/>
        </w:rPr>
        <w:t>Indian OFDI can be traced a</w:t>
      </w:r>
      <w:r w:rsidRPr="00686357">
        <w:rPr>
          <w:rFonts w:ascii="Times New Roman" w:hAnsi="Times New Roman" w:cs="Times New Roman"/>
        </w:rPr>
        <w:t xml:space="preserve">s far back as pre-independent India (Morris, 1987; Nayyar, 2008), </w:t>
      </w:r>
      <w:r w:rsidR="00782D77" w:rsidRPr="00686357">
        <w:rPr>
          <w:rFonts w:ascii="Times New Roman" w:hAnsi="Times New Roman" w:cs="Times New Roman"/>
        </w:rPr>
        <w:t xml:space="preserve">one of the Indian conglomerates of the time Mafatlal had </w:t>
      </w:r>
      <w:r w:rsidRPr="00686357">
        <w:rPr>
          <w:rFonts w:ascii="Times New Roman" w:hAnsi="Times New Roman" w:cs="Times New Roman"/>
        </w:rPr>
        <w:t xml:space="preserve">invested in a cotton spinning operation in Uganda </w:t>
      </w:r>
      <w:r w:rsidR="00782D77" w:rsidRPr="00686357">
        <w:rPr>
          <w:rFonts w:ascii="Times New Roman" w:hAnsi="Times New Roman" w:cs="Times New Roman"/>
        </w:rPr>
        <w:t xml:space="preserve">in the 1920s </w:t>
      </w:r>
      <w:r w:rsidRPr="00686357">
        <w:rPr>
          <w:rFonts w:ascii="Times New Roman" w:hAnsi="Times New Roman" w:cs="Times New Roman"/>
        </w:rPr>
        <w:t xml:space="preserve">(Hansen, 2007). </w:t>
      </w:r>
      <w:r w:rsidR="00782D77" w:rsidRPr="00686357">
        <w:rPr>
          <w:rFonts w:ascii="Times New Roman" w:hAnsi="Times New Roman" w:cs="Times New Roman"/>
        </w:rPr>
        <w:t xml:space="preserve">India’s first </w:t>
      </w:r>
      <w:r w:rsidRPr="00686357">
        <w:rPr>
          <w:rFonts w:ascii="Times New Roman" w:hAnsi="Times New Roman" w:cs="Times New Roman"/>
        </w:rPr>
        <w:t>overseas venture was</w:t>
      </w:r>
      <w:r w:rsidR="00667AF4">
        <w:rPr>
          <w:rFonts w:ascii="Times New Roman" w:hAnsi="Times New Roman" w:cs="Times New Roman"/>
        </w:rPr>
        <w:t xml:space="preserve"> Indo Ethiopian Textile Share Company, established by the Birla Group in </w:t>
      </w:r>
      <w:r w:rsidR="00667AF4" w:rsidRPr="00836747">
        <w:rPr>
          <w:rFonts w:ascii="Times New Roman" w:hAnsi="Times New Roman" w:cs="Times New Roman"/>
        </w:rPr>
        <w:t>1959</w:t>
      </w:r>
      <w:r w:rsidRPr="00836747">
        <w:rPr>
          <w:rFonts w:ascii="Times New Roman" w:hAnsi="Times New Roman" w:cs="Times New Roman"/>
        </w:rPr>
        <w:t xml:space="preserve"> (</w:t>
      </w:r>
      <w:r w:rsidR="00836747" w:rsidRPr="00101F20">
        <w:rPr>
          <w:rFonts w:ascii="Times New Roman" w:hAnsi="Times New Roman" w:cs="Times New Roman"/>
        </w:rPr>
        <w:t>Athukorala</w:t>
      </w:r>
      <w:r w:rsidRPr="00836747">
        <w:rPr>
          <w:rFonts w:ascii="Times New Roman" w:hAnsi="Times New Roman" w:cs="Times New Roman"/>
        </w:rPr>
        <w:t xml:space="preserve">, </w:t>
      </w:r>
      <w:r w:rsidR="00836747">
        <w:rPr>
          <w:rFonts w:ascii="Times New Roman" w:hAnsi="Times New Roman" w:cs="Times New Roman"/>
        </w:rPr>
        <w:t>2009</w:t>
      </w:r>
      <w:r w:rsidRPr="00836747">
        <w:rPr>
          <w:rFonts w:ascii="Times New Roman" w:hAnsi="Times New Roman" w:cs="Times New Roman"/>
        </w:rPr>
        <w:t>).</w:t>
      </w:r>
      <w:r w:rsidRPr="00686357">
        <w:rPr>
          <w:rFonts w:ascii="Times New Roman" w:hAnsi="Times New Roman" w:cs="Times New Roman"/>
        </w:rPr>
        <w:t xml:space="preserve"> </w:t>
      </w:r>
      <w:r w:rsidR="002129C6" w:rsidRPr="00686357">
        <w:rPr>
          <w:rFonts w:ascii="Times New Roman" w:hAnsi="Times New Roman" w:cs="Times New Roman"/>
        </w:rPr>
        <w:t>Similarly,</w:t>
      </w:r>
      <w:r w:rsidRPr="00686357">
        <w:rPr>
          <w:rFonts w:ascii="Times New Roman" w:hAnsi="Times New Roman" w:cs="Times New Roman"/>
        </w:rPr>
        <w:t xml:space="preserve"> </w:t>
      </w:r>
      <w:r w:rsidR="005E465E">
        <w:rPr>
          <w:rFonts w:ascii="Times New Roman" w:hAnsi="Times New Roman" w:cs="Times New Roman"/>
        </w:rPr>
        <w:t xml:space="preserve">in the early 1960s </w:t>
      </w:r>
      <w:r w:rsidRPr="00686357">
        <w:rPr>
          <w:rFonts w:ascii="Times New Roman" w:hAnsi="Times New Roman" w:cs="Times New Roman"/>
        </w:rPr>
        <w:t xml:space="preserve">Tata group expanded their activities </w:t>
      </w:r>
      <w:r w:rsidR="00393214" w:rsidRPr="00774C66">
        <w:rPr>
          <w:rFonts w:ascii="Times New Roman" w:hAnsi="Times New Roman" w:cs="Times New Roman"/>
        </w:rPr>
        <w:t>abroad</w:t>
      </w:r>
      <w:r w:rsidRPr="00686357">
        <w:rPr>
          <w:rFonts w:ascii="Times New Roman" w:hAnsi="Times New Roman" w:cs="Times New Roman"/>
        </w:rPr>
        <w:t>, and the pharmaceutical company Ranbaxy set up its first joint venture in Nigeria in 1977 (Hansen, 2007).</w:t>
      </w:r>
      <w:r w:rsidR="000C72B0">
        <w:rPr>
          <w:rFonts w:ascii="Times New Roman" w:hAnsi="Times New Roman" w:cs="Times New Roman"/>
        </w:rPr>
        <w:t xml:space="preserve"> Although, Indian firms made overseas investments from post-independence era till mid 1960s (Lall, 1983), the official figures about these investments are largely unknown, since the </w:t>
      </w:r>
      <w:r w:rsidR="006B6E0D">
        <w:rPr>
          <w:rFonts w:ascii="Times New Roman" w:hAnsi="Times New Roman" w:cs="Times New Roman"/>
        </w:rPr>
        <w:t xml:space="preserve">concrete </w:t>
      </w:r>
      <w:r w:rsidR="000C72B0">
        <w:rPr>
          <w:rFonts w:ascii="Times New Roman" w:hAnsi="Times New Roman" w:cs="Times New Roman"/>
        </w:rPr>
        <w:t>data for Indian OFDI is only available post 1980 (</w:t>
      </w:r>
      <w:r w:rsidR="000C72B0" w:rsidRPr="00747D2B">
        <w:rPr>
          <w:rFonts w:ascii="Times New Roman" w:hAnsi="Times New Roman" w:cs="Times New Roman"/>
        </w:rPr>
        <w:t>Verma &amp; Brennan, 2011</w:t>
      </w:r>
      <w:r w:rsidR="000C72B0">
        <w:rPr>
          <w:rFonts w:ascii="Times New Roman" w:hAnsi="Times New Roman" w:cs="Times New Roman"/>
        </w:rPr>
        <w:t xml:space="preserve">). </w:t>
      </w:r>
      <w:r w:rsidRPr="00686357">
        <w:rPr>
          <w:rFonts w:ascii="Times New Roman" w:hAnsi="Times New Roman" w:cs="Times New Roman"/>
        </w:rPr>
        <w:t xml:space="preserve">However, </w:t>
      </w:r>
      <w:r w:rsidR="009047B9">
        <w:rPr>
          <w:rFonts w:ascii="Times New Roman" w:hAnsi="Times New Roman" w:cs="Times New Roman"/>
        </w:rPr>
        <w:t xml:space="preserve">nearly three decades of </w:t>
      </w:r>
      <w:r w:rsidRPr="00686357">
        <w:rPr>
          <w:rFonts w:ascii="Times New Roman" w:hAnsi="Times New Roman" w:cs="Times New Roman"/>
        </w:rPr>
        <w:t xml:space="preserve">India’s </w:t>
      </w:r>
      <w:r w:rsidR="009047B9">
        <w:rPr>
          <w:rFonts w:ascii="Times New Roman" w:hAnsi="Times New Roman" w:cs="Times New Roman"/>
        </w:rPr>
        <w:t xml:space="preserve">illiberal and restrictive policies </w:t>
      </w:r>
      <w:r w:rsidRPr="00686357">
        <w:rPr>
          <w:rFonts w:ascii="Times New Roman" w:hAnsi="Times New Roman" w:cs="Times New Roman"/>
        </w:rPr>
        <w:t xml:space="preserve">limited OFDI to small, minority joint ventures in </w:t>
      </w:r>
      <w:r w:rsidRPr="00686357">
        <w:rPr>
          <w:rFonts w:ascii="Times New Roman" w:hAnsi="Times New Roman" w:cs="Times New Roman"/>
        </w:rPr>
        <w:lastRenderedPageBreak/>
        <w:t xml:space="preserve">developing </w:t>
      </w:r>
      <w:r w:rsidR="00782D77" w:rsidRPr="00686357">
        <w:rPr>
          <w:rFonts w:ascii="Times New Roman" w:hAnsi="Times New Roman" w:cs="Times New Roman"/>
        </w:rPr>
        <w:t>countries</w:t>
      </w:r>
      <w:r w:rsidRPr="00686357">
        <w:rPr>
          <w:rFonts w:ascii="Times New Roman" w:hAnsi="Times New Roman" w:cs="Times New Roman"/>
        </w:rPr>
        <w:t xml:space="preserve">, </w:t>
      </w:r>
      <w:r w:rsidR="009047B9">
        <w:rPr>
          <w:rFonts w:ascii="Times New Roman" w:hAnsi="Times New Roman" w:cs="Times New Roman"/>
        </w:rPr>
        <w:t>resulting in India’s economic growth stuck at drastically low levels (</w:t>
      </w:r>
      <w:r w:rsidR="002627F6" w:rsidRPr="00747D2B">
        <w:rPr>
          <w:rFonts w:ascii="Times New Roman" w:hAnsi="Times New Roman" w:cs="Times New Roman"/>
        </w:rPr>
        <w:t>Verma &amp; Brennan, 2011</w:t>
      </w:r>
      <w:r w:rsidR="009047B9">
        <w:rPr>
          <w:rFonts w:ascii="Times New Roman" w:hAnsi="Times New Roman" w:cs="Times New Roman"/>
        </w:rPr>
        <w:t xml:space="preserve">). Also, </w:t>
      </w:r>
      <w:r w:rsidRPr="00686357">
        <w:rPr>
          <w:rFonts w:ascii="Times New Roman" w:hAnsi="Times New Roman" w:cs="Times New Roman"/>
        </w:rPr>
        <w:t>most OFDI of the time was geographically concentrated in West and East Africa, the Middle East, and Southeast Asia, owing to India’s historical linkages and a shared colonial heritage with these regions</w:t>
      </w:r>
      <w:r w:rsidR="00757D6A" w:rsidRPr="00686357">
        <w:rPr>
          <w:rFonts w:ascii="Times New Roman" w:hAnsi="Times New Roman" w:cs="Times New Roman"/>
        </w:rPr>
        <w:t xml:space="preserve"> (Holtb</w:t>
      </w:r>
      <w:r w:rsidR="00960910" w:rsidRPr="00686357">
        <w:rPr>
          <w:rFonts w:ascii="Times New Roman" w:hAnsi="Times New Roman" w:cs="Times New Roman"/>
        </w:rPr>
        <w:t>r</w:t>
      </w:r>
      <w:r w:rsidR="00757D6A" w:rsidRPr="00686357">
        <w:rPr>
          <w:rFonts w:ascii="Times New Roman" w:hAnsi="Times New Roman" w:cs="Times New Roman"/>
        </w:rPr>
        <w:t>ügge et al., 2013)</w:t>
      </w:r>
      <w:r w:rsidRPr="00686357">
        <w:rPr>
          <w:rFonts w:ascii="Times New Roman" w:hAnsi="Times New Roman" w:cs="Times New Roman"/>
        </w:rPr>
        <w:t xml:space="preserve">. </w:t>
      </w:r>
    </w:p>
    <w:p w:rsidR="000C72B0" w:rsidRPr="00686357" w:rsidRDefault="000C72B0" w:rsidP="00503CD1">
      <w:pPr>
        <w:autoSpaceDE w:val="0"/>
        <w:autoSpaceDN w:val="0"/>
        <w:adjustRightInd w:val="0"/>
        <w:spacing w:after="0" w:line="480" w:lineRule="auto"/>
        <w:jc w:val="both"/>
        <w:rPr>
          <w:rFonts w:ascii="Times New Roman" w:hAnsi="Times New Roman" w:cs="Times New Roman"/>
        </w:rPr>
      </w:pPr>
    </w:p>
    <w:p w:rsidR="00A43516" w:rsidRDefault="00A43516" w:rsidP="00503CD1">
      <w:pPr>
        <w:autoSpaceDE w:val="0"/>
        <w:autoSpaceDN w:val="0"/>
        <w:adjustRightInd w:val="0"/>
        <w:spacing w:after="0" w:line="480" w:lineRule="auto"/>
        <w:jc w:val="both"/>
        <w:rPr>
          <w:rFonts w:ascii="Times New Roman" w:hAnsi="Times New Roman" w:cs="Times New Roman"/>
        </w:rPr>
      </w:pPr>
      <w:r w:rsidRPr="00747D2B">
        <w:rPr>
          <w:rFonts w:ascii="Times New Roman" w:hAnsi="Times New Roman" w:cs="Times New Roman"/>
        </w:rPr>
        <w:t>India’s OFDI can be broadly classified into three phases. The first phase from the 1970s to the 1980s was mainly led by modest investments made in joint ventures in Asia and Africa and was shaped by political and regulatory constraints. OFDI was particularly manufacturing-driven, and the investing firms were mostly from the private sector and had a greater geographical and</w:t>
      </w:r>
      <w:r w:rsidRPr="00747D2B">
        <w:rPr>
          <w:rFonts w:ascii="Times New Roman" w:hAnsi="Times New Roman" w:cs="Times New Roman"/>
          <w:lang w:val="en-GB"/>
        </w:rPr>
        <w:t xml:space="preserve"> sectoral</w:t>
      </w:r>
      <w:r w:rsidRPr="00747D2B">
        <w:rPr>
          <w:rFonts w:ascii="Times New Roman" w:hAnsi="Times New Roman" w:cs="Times New Roman"/>
        </w:rPr>
        <w:t xml:space="preserve"> profile</w:t>
      </w:r>
      <w:r w:rsidR="0080204B">
        <w:rPr>
          <w:rFonts w:ascii="Times New Roman" w:hAnsi="Times New Roman" w:cs="Times New Roman"/>
        </w:rPr>
        <w:t xml:space="preserve"> (Kumar, 2007)</w:t>
      </w:r>
      <w:r w:rsidRPr="00747D2B">
        <w:rPr>
          <w:rFonts w:ascii="Times New Roman" w:hAnsi="Times New Roman" w:cs="Times New Roman"/>
        </w:rPr>
        <w:t>. The second phase in the 1990s and early 2000s was characterized by a more liberal government stance</w:t>
      </w:r>
      <w:r w:rsidR="00CC21A0" w:rsidRPr="00747D2B">
        <w:rPr>
          <w:rFonts w:ascii="Times New Roman" w:hAnsi="Times New Roman" w:cs="Times New Roman"/>
        </w:rPr>
        <w:t xml:space="preserve"> (Sauvant &amp; Pradhan, 2010)</w:t>
      </w:r>
      <w:r w:rsidRPr="00747D2B">
        <w:rPr>
          <w:rFonts w:ascii="Times New Roman" w:hAnsi="Times New Roman" w:cs="Times New Roman"/>
        </w:rPr>
        <w:t>. In contrast to China, however, the capability of Indian firms to invest abroad was still limited. In the third phase which began in the early 2000s, Indian OFDI did not only grow significantly, but exhibited a diversification in terms of industrial composi</w:t>
      </w:r>
      <w:r w:rsidR="00CC21A0" w:rsidRPr="00747D2B">
        <w:rPr>
          <w:rFonts w:ascii="Times New Roman" w:hAnsi="Times New Roman" w:cs="Times New Roman"/>
        </w:rPr>
        <w:t>tion, motives and destinations (</w:t>
      </w:r>
      <w:r w:rsidR="00EC34B5">
        <w:rPr>
          <w:rFonts w:ascii="Times New Roman" w:hAnsi="Times New Roman" w:cs="Times New Roman"/>
        </w:rPr>
        <w:t xml:space="preserve">Kumar, 2007; </w:t>
      </w:r>
      <w:r w:rsidR="00CC21A0" w:rsidRPr="00747D2B">
        <w:rPr>
          <w:rFonts w:ascii="Times New Roman" w:hAnsi="Times New Roman" w:cs="Times New Roman"/>
        </w:rPr>
        <w:t>Sauvant &amp; Pradhan, 2010).</w:t>
      </w:r>
    </w:p>
    <w:p w:rsidR="00F761DD" w:rsidRPr="00686357" w:rsidRDefault="00F761DD" w:rsidP="00503CD1">
      <w:pPr>
        <w:autoSpaceDE w:val="0"/>
        <w:autoSpaceDN w:val="0"/>
        <w:adjustRightInd w:val="0"/>
        <w:spacing w:after="0" w:line="480" w:lineRule="auto"/>
        <w:jc w:val="both"/>
        <w:rPr>
          <w:rFonts w:ascii="Times New Roman" w:hAnsi="Times New Roman" w:cs="Times New Roman"/>
        </w:rPr>
      </w:pPr>
    </w:p>
    <w:p w:rsidR="00A43516" w:rsidRDefault="00A43516" w:rsidP="00503CD1">
      <w:pPr>
        <w:autoSpaceDE w:val="0"/>
        <w:autoSpaceDN w:val="0"/>
        <w:adjustRightInd w:val="0"/>
        <w:spacing w:after="0" w:line="480" w:lineRule="auto"/>
        <w:jc w:val="both"/>
        <w:rPr>
          <w:rFonts w:ascii="Times New Roman" w:hAnsi="Times New Roman" w:cs="Times New Roman"/>
          <w:color w:val="000000"/>
        </w:rPr>
      </w:pPr>
      <w:r w:rsidRPr="00686357">
        <w:rPr>
          <w:rFonts w:ascii="Times New Roman" w:hAnsi="Times New Roman" w:cs="Times New Roman"/>
        </w:rPr>
        <w:t>An important characterist</w:t>
      </w:r>
      <w:r w:rsidR="005E465E">
        <w:rPr>
          <w:rFonts w:ascii="Times New Roman" w:hAnsi="Times New Roman" w:cs="Times New Roman"/>
        </w:rPr>
        <w:t>ic of post-liberalization OFDI wa</w:t>
      </w:r>
      <w:r w:rsidRPr="00686357">
        <w:rPr>
          <w:rFonts w:ascii="Times New Roman" w:hAnsi="Times New Roman" w:cs="Times New Roman"/>
        </w:rPr>
        <w:t>s the increase of cross-border M&amp;As</w:t>
      </w:r>
      <w:r w:rsidR="0042110B">
        <w:rPr>
          <w:rFonts w:ascii="Times New Roman" w:hAnsi="Times New Roman" w:cs="Times New Roman"/>
        </w:rPr>
        <w:t>, which has emerged as a preferred mode of expansion by the Indian firms in the global market (Pradhan, 2007)</w:t>
      </w:r>
      <w:r w:rsidRPr="00686357">
        <w:rPr>
          <w:rFonts w:ascii="Times New Roman" w:hAnsi="Times New Roman" w:cs="Times New Roman"/>
        </w:rPr>
        <w:t xml:space="preserve">. Around 37 M&amp;As were </w:t>
      </w:r>
      <w:r w:rsidR="00960910" w:rsidRPr="00686357">
        <w:rPr>
          <w:rFonts w:ascii="Times New Roman" w:hAnsi="Times New Roman" w:cs="Times New Roman"/>
        </w:rPr>
        <w:t>registered</w:t>
      </w:r>
      <w:r w:rsidRPr="00686357">
        <w:rPr>
          <w:rFonts w:ascii="Times New Roman" w:hAnsi="Times New Roman" w:cs="Times New Roman"/>
        </w:rPr>
        <w:t xml:space="preserve"> during 2001, which increased to 170 by 2006 (Bhutani, 2007). </w:t>
      </w:r>
      <w:r w:rsidR="00A628AA">
        <w:rPr>
          <w:rFonts w:ascii="Times New Roman" w:hAnsi="Times New Roman" w:cs="Times New Roman"/>
        </w:rPr>
        <w:t>And, by 2007 onwards, Indian firms were foraying into large scale cross border ventures, by acquiring firms bigger in both scale and size. Table 1 shows some of the major acquisitions by Indian firms, and m</w:t>
      </w:r>
      <w:r w:rsidRPr="00686357">
        <w:rPr>
          <w:rFonts w:ascii="Times New Roman" w:hAnsi="Times New Roman" w:cs="Times New Roman"/>
        </w:rPr>
        <w:t>ost notable during this period were the acquisition of the Anglo-Dutch com</w:t>
      </w:r>
      <w:r w:rsidR="002129C6" w:rsidRPr="00686357">
        <w:rPr>
          <w:rFonts w:ascii="Times New Roman" w:hAnsi="Times New Roman" w:cs="Times New Roman"/>
        </w:rPr>
        <w:t>pany Corus by Tata Steel for US</w:t>
      </w:r>
      <w:r w:rsidRPr="00686357">
        <w:rPr>
          <w:rFonts w:ascii="Times New Roman" w:hAnsi="Times New Roman" w:cs="Times New Roman"/>
        </w:rPr>
        <w:t>$ 12 billion</w:t>
      </w:r>
      <w:r w:rsidR="000E1BF4" w:rsidRPr="00686357">
        <w:rPr>
          <w:rFonts w:ascii="Times New Roman" w:hAnsi="Times New Roman" w:cs="Times New Roman"/>
        </w:rPr>
        <w:t>, Bharti Airtel’s acquisition of Zain Africa for US$ 10 billion</w:t>
      </w:r>
      <w:r w:rsidRPr="00686357">
        <w:rPr>
          <w:rFonts w:ascii="Times New Roman" w:hAnsi="Times New Roman" w:cs="Times New Roman"/>
        </w:rPr>
        <w:t xml:space="preserve"> and </w:t>
      </w:r>
      <w:r w:rsidR="002129C6" w:rsidRPr="00686357">
        <w:rPr>
          <w:rFonts w:ascii="Times New Roman" w:hAnsi="Times New Roman" w:cs="Times New Roman"/>
          <w:color w:val="000000"/>
        </w:rPr>
        <w:t>Aditya Birla G</w:t>
      </w:r>
      <w:r w:rsidRPr="00686357">
        <w:rPr>
          <w:rFonts w:ascii="Times New Roman" w:hAnsi="Times New Roman" w:cs="Times New Roman"/>
          <w:color w:val="000000"/>
        </w:rPr>
        <w:t xml:space="preserve">roup’s acquisition of </w:t>
      </w:r>
      <w:r w:rsidR="00C8575D">
        <w:rPr>
          <w:rFonts w:ascii="Times New Roman" w:hAnsi="Times New Roman" w:cs="Times New Roman"/>
          <w:color w:val="000000"/>
        </w:rPr>
        <w:t>Atlanta based</w:t>
      </w:r>
      <w:r w:rsidR="00ED6B65">
        <w:rPr>
          <w:rFonts w:ascii="Times New Roman" w:hAnsi="Times New Roman" w:cs="Times New Roman"/>
          <w:color w:val="000000"/>
        </w:rPr>
        <w:t xml:space="preserve"> company </w:t>
      </w:r>
      <w:r w:rsidR="00D13D56">
        <w:rPr>
          <w:rFonts w:ascii="Times New Roman" w:hAnsi="Times New Roman" w:cs="Times New Roman"/>
          <w:color w:val="000000"/>
        </w:rPr>
        <w:t xml:space="preserve">Novellis </w:t>
      </w:r>
      <w:r w:rsidRPr="00686357">
        <w:rPr>
          <w:rFonts w:ascii="Times New Roman" w:hAnsi="Times New Roman" w:cs="Times New Roman"/>
          <w:color w:val="000000"/>
        </w:rPr>
        <w:t>for</w:t>
      </w:r>
      <w:r w:rsidRPr="00686357">
        <w:rPr>
          <w:rStyle w:val="apple-converted-space"/>
          <w:rFonts w:ascii="Times New Roman" w:eastAsiaTheme="majorEastAsia" w:hAnsi="Times New Roman" w:cs="Times New Roman"/>
          <w:color w:val="000000"/>
        </w:rPr>
        <w:t> US</w:t>
      </w:r>
      <w:r w:rsidRPr="00686357">
        <w:rPr>
          <w:rFonts w:ascii="Times New Roman" w:hAnsi="Times New Roman" w:cs="Times New Roman"/>
          <w:bCs/>
          <w:color w:val="000000"/>
        </w:rPr>
        <w:t xml:space="preserve">$ 6 billion. </w:t>
      </w:r>
      <w:r w:rsidRPr="00686357">
        <w:rPr>
          <w:rFonts w:ascii="Times New Roman" w:hAnsi="Times New Roman" w:cs="Times New Roman"/>
          <w:color w:val="000000"/>
        </w:rPr>
        <w:t xml:space="preserve">As a result of these and other large cross-border M&amp;As, India became the </w:t>
      </w:r>
      <w:r w:rsidR="00DA0023" w:rsidRPr="00686357">
        <w:rPr>
          <w:rFonts w:ascii="Times New Roman" w:hAnsi="Times New Roman" w:cs="Times New Roman"/>
          <w:color w:val="000000"/>
        </w:rPr>
        <w:t>2</w:t>
      </w:r>
      <w:r w:rsidR="000C72B0">
        <w:rPr>
          <w:rFonts w:ascii="Times New Roman" w:hAnsi="Times New Roman" w:cs="Times New Roman"/>
          <w:color w:val="000000"/>
        </w:rPr>
        <w:t>1</w:t>
      </w:r>
      <w:r w:rsidR="000C72B0" w:rsidRPr="000C72B0">
        <w:rPr>
          <w:rFonts w:ascii="Times New Roman" w:hAnsi="Times New Roman" w:cs="Times New Roman"/>
          <w:color w:val="000000"/>
          <w:vertAlign w:val="superscript"/>
        </w:rPr>
        <w:t>st</w:t>
      </w:r>
      <w:r w:rsidR="000C72B0">
        <w:rPr>
          <w:rFonts w:ascii="Times New Roman" w:hAnsi="Times New Roman" w:cs="Times New Roman"/>
          <w:color w:val="000000"/>
        </w:rPr>
        <w:t xml:space="preserve"> </w:t>
      </w:r>
      <w:r w:rsidR="00DA0023" w:rsidRPr="00686357">
        <w:rPr>
          <w:rFonts w:ascii="Times New Roman" w:hAnsi="Times New Roman" w:cs="Times New Roman"/>
          <w:color w:val="000000"/>
        </w:rPr>
        <w:t xml:space="preserve">largest investor with the highest OFDI flows in 2010, while among the emerging markets, it ranks in as number 2 after China </w:t>
      </w:r>
      <w:r w:rsidRPr="00686357">
        <w:rPr>
          <w:rFonts w:ascii="Times New Roman" w:hAnsi="Times New Roman" w:cs="Times New Roman"/>
          <w:color w:val="000000"/>
        </w:rPr>
        <w:t xml:space="preserve">(Chowdhury, 2011). </w:t>
      </w:r>
    </w:p>
    <w:p w:rsidR="00E56C42" w:rsidRPr="00686357" w:rsidRDefault="00E56C42" w:rsidP="00503CD1">
      <w:pPr>
        <w:autoSpaceDE w:val="0"/>
        <w:autoSpaceDN w:val="0"/>
        <w:adjustRightInd w:val="0"/>
        <w:spacing w:after="0" w:line="480" w:lineRule="auto"/>
        <w:jc w:val="both"/>
        <w:rPr>
          <w:rFonts w:ascii="Times New Roman" w:hAnsi="Times New Roman" w:cs="Times New Roman"/>
          <w:color w:val="000000"/>
        </w:rPr>
      </w:pPr>
    </w:p>
    <w:p w:rsidR="00960910" w:rsidRPr="00686357" w:rsidRDefault="00960910" w:rsidP="00503CD1">
      <w:pPr>
        <w:autoSpaceDE w:val="0"/>
        <w:autoSpaceDN w:val="0"/>
        <w:adjustRightInd w:val="0"/>
        <w:spacing w:after="0" w:line="480" w:lineRule="auto"/>
        <w:jc w:val="both"/>
        <w:rPr>
          <w:rFonts w:ascii="Times New Roman" w:hAnsi="Times New Roman" w:cs="Times New Roman"/>
          <w:color w:val="000000"/>
        </w:rPr>
      </w:pPr>
    </w:p>
    <w:tbl>
      <w:tblPr>
        <w:tblW w:w="9694" w:type="dxa"/>
        <w:jc w:val="center"/>
        <w:tblCellMar>
          <w:left w:w="0" w:type="dxa"/>
          <w:right w:w="0" w:type="dxa"/>
        </w:tblCellMar>
        <w:tblLook w:val="0420" w:firstRow="1" w:lastRow="0" w:firstColumn="0" w:lastColumn="0" w:noHBand="0" w:noVBand="1"/>
      </w:tblPr>
      <w:tblGrid>
        <w:gridCol w:w="612"/>
        <w:gridCol w:w="1769"/>
        <w:gridCol w:w="1970"/>
        <w:gridCol w:w="1453"/>
        <w:gridCol w:w="1743"/>
        <w:gridCol w:w="2147"/>
      </w:tblGrid>
      <w:tr w:rsidR="006067BB" w:rsidRPr="00686357" w:rsidTr="00503CD1">
        <w:trPr>
          <w:trHeight w:val="595"/>
          <w:jc w:val="center"/>
        </w:trPr>
        <w:tc>
          <w:tcPr>
            <w:tcW w:w="612"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6067BB" w:rsidRPr="00686357" w:rsidRDefault="006067BB" w:rsidP="00503CD1">
            <w:pPr>
              <w:autoSpaceDE w:val="0"/>
              <w:autoSpaceDN w:val="0"/>
              <w:adjustRightInd w:val="0"/>
              <w:spacing w:after="0" w:line="480" w:lineRule="auto"/>
              <w:jc w:val="center"/>
              <w:rPr>
                <w:rFonts w:ascii="Times New Roman" w:hAnsi="Times New Roman" w:cs="Times New Roman"/>
                <w:color w:val="FFFFFF" w:themeColor="background1"/>
              </w:rPr>
            </w:pPr>
            <w:r w:rsidRPr="00686357">
              <w:rPr>
                <w:rFonts w:ascii="Times New Roman" w:hAnsi="Times New Roman" w:cs="Times New Roman"/>
                <w:b/>
                <w:bCs/>
                <w:color w:val="FFFFFF" w:themeColor="background1"/>
              </w:rPr>
              <w:t>No.</w:t>
            </w:r>
          </w:p>
        </w:tc>
        <w:tc>
          <w:tcPr>
            <w:tcW w:w="1769"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6067BB" w:rsidRPr="00686357" w:rsidRDefault="006067BB" w:rsidP="00503CD1">
            <w:pPr>
              <w:autoSpaceDE w:val="0"/>
              <w:autoSpaceDN w:val="0"/>
              <w:adjustRightInd w:val="0"/>
              <w:spacing w:after="0" w:line="480" w:lineRule="auto"/>
              <w:jc w:val="center"/>
              <w:rPr>
                <w:rFonts w:ascii="Times New Roman" w:hAnsi="Times New Roman" w:cs="Times New Roman"/>
                <w:color w:val="FFFFFF" w:themeColor="background1"/>
              </w:rPr>
            </w:pPr>
            <w:r w:rsidRPr="00686357">
              <w:rPr>
                <w:rFonts w:ascii="Times New Roman" w:hAnsi="Times New Roman" w:cs="Times New Roman"/>
                <w:b/>
                <w:bCs/>
                <w:color w:val="FFFFFF" w:themeColor="background1"/>
              </w:rPr>
              <w:t>Indian Firm</w:t>
            </w:r>
          </w:p>
        </w:tc>
        <w:tc>
          <w:tcPr>
            <w:tcW w:w="1970"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6067BB" w:rsidRPr="00686357" w:rsidRDefault="006067BB" w:rsidP="00503CD1">
            <w:pPr>
              <w:autoSpaceDE w:val="0"/>
              <w:autoSpaceDN w:val="0"/>
              <w:adjustRightInd w:val="0"/>
              <w:spacing w:after="0" w:line="480" w:lineRule="auto"/>
              <w:jc w:val="center"/>
              <w:rPr>
                <w:rFonts w:ascii="Times New Roman" w:hAnsi="Times New Roman" w:cs="Times New Roman"/>
                <w:color w:val="FFFFFF" w:themeColor="background1"/>
              </w:rPr>
            </w:pPr>
            <w:r w:rsidRPr="00686357">
              <w:rPr>
                <w:rFonts w:ascii="Times New Roman" w:hAnsi="Times New Roman" w:cs="Times New Roman"/>
                <w:b/>
                <w:bCs/>
                <w:color w:val="FFFFFF" w:themeColor="background1"/>
              </w:rPr>
              <w:t>Acquired Entity</w:t>
            </w:r>
          </w:p>
        </w:tc>
        <w:tc>
          <w:tcPr>
            <w:tcW w:w="1453" w:type="dxa"/>
            <w:tcBorders>
              <w:top w:val="single" w:sz="8" w:space="0" w:color="FFFFFF"/>
              <w:left w:val="single" w:sz="8" w:space="0" w:color="FFFFFF"/>
              <w:bottom w:val="single" w:sz="24" w:space="0" w:color="FFFFFF"/>
              <w:right w:val="single" w:sz="8" w:space="0" w:color="FFFFFF"/>
            </w:tcBorders>
            <w:shd w:val="clear" w:color="auto" w:fill="003366"/>
          </w:tcPr>
          <w:p w:rsidR="006067BB" w:rsidRDefault="006067BB" w:rsidP="00503CD1">
            <w:pPr>
              <w:autoSpaceDE w:val="0"/>
              <w:autoSpaceDN w:val="0"/>
              <w:adjustRightInd w:val="0"/>
              <w:spacing w:after="0" w:line="480" w:lineRule="auto"/>
              <w:jc w:val="center"/>
              <w:rPr>
                <w:rFonts w:ascii="Times New Roman" w:hAnsi="Times New Roman" w:cs="Times New Roman"/>
                <w:b/>
                <w:bCs/>
                <w:color w:val="FFFFFF" w:themeColor="background1"/>
                <w:lang w:val="de-DE"/>
              </w:rPr>
            </w:pPr>
            <w:r>
              <w:rPr>
                <w:rFonts w:ascii="Times New Roman" w:hAnsi="Times New Roman" w:cs="Times New Roman"/>
                <w:b/>
                <w:bCs/>
                <w:color w:val="FFFFFF" w:themeColor="background1"/>
                <w:lang w:val="de-DE"/>
              </w:rPr>
              <w:t>Country</w:t>
            </w:r>
          </w:p>
        </w:tc>
        <w:tc>
          <w:tcPr>
            <w:tcW w:w="1743" w:type="dxa"/>
            <w:tcBorders>
              <w:top w:val="single" w:sz="8" w:space="0" w:color="FFFFFF"/>
              <w:left w:val="single" w:sz="8" w:space="0" w:color="FFFFFF"/>
              <w:bottom w:val="single" w:sz="24" w:space="0" w:color="FFFFFF"/>
              <w:right w:val="single" w:sz="8" w:space="0" w:color="FFFFFF"/>
            </w:tcBorders>
            <w:shd w:val="clear" w:color="auto" w:fill="003366"/>
          </w:tcPr>
          <w:p w:rsidR="006067BB" w:rsidRPr="00686357" w:rsidRDefault="006067BB" w:rsidP="00503CD1">
            <w:pPr>
              <w:autoSpaceDE w:val="0"/>
              <w:autoSpaceDN w:val="0"/>
              <w:adjustRightInd w:val="0"/>
              <w:spacing w:after="0" w:line="480" w:lineRule="auto"/>
              <w:jc w:val="center"/>
              <w:rPr>
                <w:rFonts w:ascii="Times New Roman" w:hAnsi="Times New Roman" w:cs="Times New Roman"/>
                <w:b/>
                <w:bCs/>
                <w:color w:val="FFFFFF" w:themeColor="background1"/>
                <w:lang w:val="de-DE"/>
              </w:rPr>
            </w:pPr>
            <w:r>
              <w:rPr>
                <w:rFonts w:ascii="Times New Roman" w:hAnsi="Times New Roman" w:cs="Times New Roman"/>
                <w:b/>
                <w:bCs/>
                <w:color w:val="FFFFFF" w:themeColor="background1"/>
                <w:lang w:val="de-DE"/>
              </w:rPr>
              <w:t>Year of</w:t>
            </w:r>
            <w:r w:rsidRPr="00A81F73">
              <w:rPr>
                <w:rFonts w:ascii="Times New Roman" w:hAnsi="Times New Roman" w:cs="Times New Roman"/>
                <w:b/>
                <w:bCs/>
                <w:color w:val="FFFFFF" w:themeColor="background1"/>
              </w:rPr>
              <w:t xml:space="preserve"> Acquisition</w:t>
            </w:r>
          </w:p>
        </w:tc>
        <w:tc>
          <w:tcPr>
            <w:tcW w:w="2147"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6067BB" w:rsidRPr="00686357" w:rsidRDefault="006067BB" w:rsidP="00503CD1">
            <w:pPr>
              <w:autoSpaceDE w:val="0"/>
              <w:autoSpaceDN w:val="0"/>
              <w:adjustRightInd w:val="0"/>
              <w:spacing w:after="0" w:line="480" w:lineRule="auto"/>
              <w:jc w:val="center"/>
              <w:rPr>
                <w:rFonts w:ascii="Times New Roman" w:hAnsi="Times New Roman" w:cs="Times New Roman"/>
                <w:color w:val="FFFFFF" w:themeColor="background1"/>
              </w:rPr>
            </w:pPr>
            <w:r w:rsidRPr="00686357">
              <w:rPr>
                <w:rFonts w:ascii="Times New Roman" w:hAnsi="Times New Roman" w:cs="Times New Roman"/>
                <w:b/>
                <w:bCs/>
                <w:color w:val="FFFFFF" w:themeColor="background1"/>
                <w:lang w:val="de-DE"/>
              </w:rPr>
              <w:t>Deal</w:t>
            </w:r>
            <w:r w:rsidRPr="00A81F73">
              <w:rPr>
                <w:rFonts w:ascii="Times New Roman" w:hAnsi="Times New Roman" w:cs="Times New Roman"/>
                <w:b/>
                <w:bCs/>
                <w:color w:val="FFFFFF" w:themeColor="background1"/>
              </w:rPr>
              <w:t xml:space="preserve"> Amount</w:t>
            </w:r>
            <w:r w:rsidRPr="00686357">
              <w:rPr>
                <w:rFonts w:ascii="Times New Roman" w:hAnsi="Times New Roman" w:cs="Times New Roman"/>
                <w:b/>
                <w:bCs/>
                <w:color w:val="FFFFFF" w:themeColor="background1"/>
                <w:lang w:val="de-DE"/>
              </w:rPr>
              <w:t xml:space="preserve"> </w:t>
            </w:r>
            <w:r w:rsidRPr="00A81F73">
              <w:rPr>
                <w:rFonts w:ascii="Times New Roman" w:hAnsi="Times New Roman" w:cs="Times New Roman"/>
                <w:b/>
                <w:bCs/>
                <w:color w:val="FFFFFF" w:themeColor="background1"/>
              </w:rPr>
              <w:t>(billion</w:t>
            </w:r>
            <w:r w:rsidRPr="00686357">
              <w:rPr>
                <w:rFonts w:ascii="Times New Roman" w:hAnsi="Times New Roman" w:cs="Times New Roman"/>
                <w:b/>
                <w:bCs/>
                <w:color w:val="FFFFFF" w:themeColor="background1"/>
                <w:lang w:val="de-DE"/>
              </w:rPr>
              <w:t>)</w:t>
            </w:r>
          </w:p>
        </w:tc>
      </w:tr>
      <w:tr w:rsidR="006067BB" w:rsidRPr="00686357" w:rsidTr="00503CD1">
        <w:trPr>
          <w:trHeight w:val="541"/>
          <w:jc w:val="center"/>
        </w:trPr>
        <w:tc>
          <w:tcPr>
            <w:tcW w:w="612"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1</w:t>
            </w:r>
          </w:p>
        </w:tc>
        <w:tc>
          <w:tcPr>
            <w:tcW w:w="1769"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Tata Steel</w:t>
            </w:r>
          </w:p>
        </w:tc>
        <w:tc>
          <w:tcPr>
            <w:tcW w:w="1970"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Corus</w:t>
            </w:r>
            <w:r>
              <w:rPr>
                <w:rFonts w:ascii="Times New Roman" w:hAnsi="Times New Roman" w:cs="Times New Roman"/>
                <w:color w:val="000000" w:themeColor="text1"/>
                <w:lang w:val="de-DE"/>
              </w:rPr>
              <w:t xml:space="preserve"> Group plc</w:t>
            </w:r>
          </w:p>
        </w:tc>
        <w:tc>
          <w:tcPr>
            <w:tcW w:w="1453" w:type="dxa"/>
            <w:tcBorders>
              <w:top w:val="single" w:sz="24" w:space="0" w:color="FFFFFF"/>
              <w:left w:val="single" w:sz="8" w:space="0" w:color="FFFFFF"/>
              <w:bottom w:val="single" w:sz="8" w:space="0" w:color="FFFFFF"/>
              <w:right w:val="single" w:sz="8" w:space="0" w:color="FFFFFF"/>
            </w:tcBorders>
            <w:shd w:val="clear" w:color="auto" w:fill="CBCDD3"/>
          </w:tcPr>
          <w:p w:rsidR="006067BB" w:rsidRDefault="006067BB" w:rsidP="00503CD1">
            <w:pPr>
              <w:autoSpaceDE w:val="0"/>
              <w:autoSpaceDN w:val="0"/>
              <w:adjustRightInd w:val="0"/>
              <w:spacing w:after="0" w:line="240" w:lineRule="auto"/>
              <w:rPr>
                <w:rFonts w:ascii="Times New Roman" w:hAnsi="Times New Roman" w:cs="Times New Roman"/>
                <w:color w:val="000000" w:themeColor="text1"/>
                <w:lang w:val="de-DE"/>
              </w:rPr>
            </w:pPr>
            <w:r>
              <w:rPr>
                <w:rFonts w:ascii="Times New Roman" w:hAnsi="Times New Roman" w:cs="Times New Roman"/>
                <w:color w:val="000000" w:themeColor="text1"/>
                <w:lang w:val="de-DE"/>
              </w:rPr>
              <w:t>UK</w:t>
            </w:r>
          </w:p>
        </w:tc>
        <w:tc>
          <w:tcPr>
            <w:tcW w:w="1743" w:type="dxa"/>
            <w:tcBorders>
              <w:top w:val="single" w:sz="24" w:space="0" w:color="FFFFFF"/>
              <w:left w:val="single" w:sz="8" w:space="0" w:color="FFFFFF"/>
              <w:bottom w:val="single" w:sz="8" w:space="0" w:color="FFFFFF"/>
              <w:right w:val="single" w:sz="8" w:space="0" w:color="FFFFFF"/>
            </w:tcBorders>
            <w:shd w:val="clear" w:color="auto" w:fill="CBCDD3"/>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lang w:val="de-DE"/>
              </w:rPr>
            </w:pPr>
            <w:r>
              <w:rPr>
                <w:rFonts w:ascii="Times New Roman" w:hAnsi="Times New Roman" w:cs="Times New Roman"/>
                <w:color w:val="000000" w:themeColor="text1"/>
                <w:lang w:val="de-DE"/>
              </w:rPr>
              <w:t>2007</w:t>
            </w:r>
          </w:p>
        </w:tc>
        <w:tc>
          <w:tcPr>
            <w:tcW w:w="2147"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US$ 12</w:t>
            </w:r>
          </w:p>
        </w:tc>
      </w:tr>
      <w:tr w:rsidR="006067BB" w:rsidRPr="00686357" w:rsidTr="00503CD1">
        <w:trPr>
          <w:trHeight w:val="509"/>
          <w:jc w:val="center"/>
        </w:trPr>
        <w:tc>
          <w:tcPr>
            <w:tcW w:w="612"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lang w:val="de-DE"/>
              </w:rPr>
            </w:pPr>
            <w:r w:rsidRPr="00686357">
              <w:rPr>
                <w:rFonts w:ascii="Times New Roman" w:hAnsi="Times New Roman" w:cs="Times New Roman"/>
                <w:color w:val="000000" w:themeColor="text1"/>
                <w:lang w:val="de-DE"/>
              </w:rPr>
              <w:t>2</w:t>
            </w:r>
          </w:p>
        </w:tc>
        <w:tc>
          <w:tcPr>
            <w:tcW w:w="1769"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lang w:val="de-DE"/>
              </w:rPr>
            </w:pPr>
            <w:r w:rsidRPr="00686357">
              <w:rPr>
                <w:rFonts w:ascii="Times New Roman" w:hAnsi="Times New Roman" w:cs="Times New Roman"/>
                <w:color w:val="000000" w:themeColor="text1"/>
                <w:lang w:val="de-DE"/>
              </w:rPr>
              <w:t>Bharti Airtel</w:t>
            </w:r>
          </w:p>
        </w:tc>
        <w:tc>
          <w:tcPr>
            <w:tcW w:w="1970"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lang w:val="de-DE"/>
              </w:rPr>
            </w:pPr>
            <w:r w:rsidRPr="00686357">
              <w:rPr>
                <w:rFonts w:ascii="Times New Roman" w:hAnsi="Times New Roman" w:cs="Times New Roman"/>
                <w:color w:val="000000" w:themeColor="text1"/>
                <w:lang w:val="de-DE"/>
              </w:rPr>
              <w:t>Zain Africa</w:t>
            </w:r>
          </w:p>
        </w:tc>
        <w:tc>
          <w:tcPr>
            <w:tcW w:w="1453" w:type="dxa"/>
            <w:tcBorders>
              <w:top w:val="single" w:sz="24" w:space="0" w:color="FFFFFF"/>
              <w:left w:val="single" w:sz="8" w:space="0" w:color="FFFFFF"/>
              <w:bottom w:val="single" w:sz="8" w:space="0" w:color="FFFFFF"/>
              <w:right w:val="single" w:sz="8" w:space="0" w:color="FFFFFF"/>
            </w:tcBorders>
            <w:shd w:val="clear" w:color="auto" w:fill="CBCDD3"/>
          </w:tcPr>
          <w:p w:rsidR="006067BB" w:rsidRDefault="006067BB" w:rsidP="00503CD1">
            <w:pPr>
              <w:autoSpaceDE w:val="0"/>
              <w:autoSpaceDN w:val="0"/>
              <w:adjustRightInd w:val="0"/>
              <w:spacing w:after="0" w:line="240" w:lineRule="auto"/>
              <w:rPr>
                <w:rFonts w:ascii="Times New Roman" w:hAnsi="Times New Roman" w:cs="Times New Roman"/>
                <w:color w:val="000000" w:themeColor="text1"/>
                <w:lang w:val="de-DE"/>
              </w:rPr>
            </w:pPr>
            <w:r>
              <w:rPr>
                <w:rFonts w:ascii="Times New Roman" w:hAnsi="Times New Roman" w:cs="Times New Roman"/>
                <w:color w:val="000000" w:themeColor="text1"/>
                <w:lang w:val="de-DE"/>
              </w:rPr>
              <w:t>15 African Countries</w:t>
            </w:r>
          </w:p>
        </w:tc>
        <w:tc>
          <w:tcPr>
            <w:tcW w:w="1743" w:type="dxa"/>
            <w:tcBorders>
              <w:top w:val="single" w:sz="24" w:space="0" w:color="FFFFFF"/>
              <w:left w:val="single" w:sz="8" w:space="0" w:color="FFFFFF"/>
              <w:bottom w:val="single" w:sz="8" w:space="0" w:color="FFFFFF"/>
              <w:right w:val="single" w:sz="8" w:space="0" w:color="FFFFFF"/>
            </w:tcBorders>
            <w:shd w:val="clear" w:color="auto" w:fill="CBCDD3"/>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lang w:val="de-DE"/>
              </w:rPr>
            </w:pPr>
            <w:r>
              <w:rPr>
                <w:rFonts w:ascii="Times New Roman" w:hAnsi="Times New Roman" w:cs="Times New Roman"/>
                <w:color w:val="000000" w:themeColor="text1"/>
                <w:lang w:val="de-DE"/>
              </w:rPr>
              <w:t>2010</w:t>
            </w:r>
          </w:p>
        </w:tc>
        <w:tc>
          <w:tcPr>
            <w:tcW w:w="2147"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lang w:val="de-DE"/>
              </w:rPr>
            </w:pPr>
            <w:r w:rsidRPr="00686357">
              <w:rPr>
                <w:rFonts w:ascii="Times New Roman" w:hAnsi="Times New Roman" w:cs="Times New Roman"/>
                <w:color w:val="000000" w:themeColor="text1"/>
                <w:lang w:val="de-DE"/>
              </w:rPr>
              <w:t>US$ 10</w:t>
            </w:r>
          </w:p>
        </w:tc>
      </w:tr>
      <w:tr w:rsidR="006067BB" w:rsidRPr="00686357" w:rsidTr="00503CD1">
        <w:trPr>
          <w:trHeight w:val="546"/>
          <w:jc w:val="center"/>
        </w:trPr>
        <w:tc>
          <w:tcPr>
            <w:tcW w:w="612"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3</w:t>
            </w:r>
          </w:p>
        </w:tc>
        <w:tc>
          <w:tcPr>
            <w:tcW w:w="1769"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Adity Birla group</w:t>
            </w:r>
          </w:p>
        </w:tc>
        <w:tc>
          <w:tcPr>
            <w:tcW w:w="197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Novellis</w:t>
            </w:r>
            <w:r>
              <w:rPr>
                <w:rFonts w:ascii="Times New Roman" w:hAnsi="Times New Roman" w:cs="Times New Roman"/>
                <w:color w:val="000000" w:themeColor="text1"/>
                <w:lang w:val="de-DE"/>
              </w:rPr>
              <w:t xml:space="preserve"> Inc</w:t>
            </w:r>
          </w:p>
        </w:tc>
        <w:tc>
          <w:tcPr>
            <w:tcW w:w="1453" w:type="dxa"/>
            <w:tcBorders>
              <w:top w:val="single" w:sz="8" w:space="0" w:color="FFFFFF"/>
              <w:left w:val="single" w:sz="8" w:space="0" w:color="FFFFFF"/>
              <w:bottom w:val="single" w:sz="8" w:space="0" w:color="FFFFFF"/>
              <w:right w:val="single" w:sz="8" w:space="0" w:color="FFFFFF"/>
            </w:tcBorders>
            <w:shd w:val="clear" w:color="auto" w:fill="E7E8EA"/>
          </w:tcPr>
          <w:p w:rsidR="006067BB" w:rsidRDefault="006067BB" w:rsidP="00503CD1">
            <w:pPr>
              <w:autoSpaceDE w:val="0"/>
              <w:autoSpaceDN w:val="0"/>
              <w:adjustRightInd w:val="0"/>
              <w:spacing w:after="0" w:line="240" w:lineRule="auto"/>
              <w:rPr>
                <w:rFonts w:ascii="Times New Roman" w:hAnsi="Times New Roman" w:cs="Times New Roman"/>
                <w:color w:val="000000" w:themeColor="text1"/>
                <w:lang w:val="de-DE"/>
              </w:rPr>
            </w:pPr>
            <w:r>
              <w:rPr>
                <w:rFonts w:ascii="Times New Roman" w:hAnsi="Times New Roman" w:cs="Times New Roman"/>
                <w:color w:val="000000" w:themeColor="text1"/>
                <w:lang w:val="de-DE"/>
              </w:rPr>
              <w:t>USA</w:t>
            </w:r>
          </w:p>
        </w:tc>
        <w:tc>
          <w:tcPr>
            <w:tcW w:w="1743" w:type="dxa"/>
            <w:tcBorders>
              <w:top w:val="single" w:sz="8" w:space="0" w:color="FFFFFF"/>
              <w:left w:val="single" w:sz="8" w:space="0" w:color="FFFFFF"/>
              <w:bottom w:val="single" w:sz="8" w:space="0" w:color="FFFFFF"/>
              <w:right w:val="single" w:sz="8" w:space="0" w:color="FFFFFF"/>
            </w:tcBorders>
            <w:shd w:val="clear" w:color="auto" w:fill="E7E8EA"/>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lang w:val="de-DE"/>
              </w:rPr>
            </w:pPr>
            <w:r>
              <w:rPr>
                <w:rFonts w:ascii="Times New Roman" w:hAnsi="Times New Roman" w:cs="Times New Roman"/>
                <w:color w:val="000000" w:themeColor="text1"/>
                <w:lang w:val="de-DE"/>
              </w:rPr>
              <w:t>2007</w:t>
            </w:r>
          </w:p>
        </w:tc>
        <w:tc>
          <w:tcPr>
            <w:tcW w:w="214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US$ 6</w:t>
            </w:r>
          </w:p>
        </w:tc>
      </w:tr>
      <w:tr w:rsidR="006067BB" w:rsidRPr="00686357" w:rsidTr="00503CD1">
        <w:trPr>
          <w:trHeight w:val="484"/>
          <w:jc w:val="center"/>
        </w:trPr>
        <w:tc>
          <w:tcPr>
            <w:tcW w:w="612"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4</w:t>
            </w:r>
          </w:p>
        </w:tc>
        <w:tc>
          <w:tcPr>
            <w:tcW w:w="1769"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ONGC</w:t>
            </w:r>
          </w:p>
        </w:tc>
        <w:tc>
          <w:tcPr>
            <w:tcW w:w="1970"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Imperial Energy</w:t>
            </w:r>
          </w:p>
        </w:tc>
        <w:tc>
          <w:tcPr>
            <w:tcW w:w="1453" w:type="dxa"/>
            <w:tcBorders>
              <w:top w:val="single" w:sz="8" w:space="0" w:color="FFFFFF"/>
              <w:left w:val="single" w:sz="8" w:space="0" w:color="FFFFFF"/>
              <w:bottom w:val="single" w:sz="8" w:space="0" w:color="FFFFFF"/>
              <w:right w:val="single" w:sz="8" w:space="0" w:color="FFFFFF"/>
            </w:tcBorders>
            <w:shd w:val="clear" w:color="auto" w:fill="CBCDD3"/>
          </w:tcPr>
          <w:p w:rsidR="006067BB" w:rsidRDefault="006067BB" w:rsidP="00503CD1">
            <w:pPr>
              <w:autoSpaceDE w:val="0"/>
              <w:autoSpaceDN w:val="0"/>
              <w:adjustRightInd w:val="0"/>
              <w:spacing w:after="0" w:line="240" w:lineRule="auto"/>
              <w:rPr>
                <w:rFonts w:ascii="Times New Roman" w:hAnsi="Times New Roman" w:cs="Times New Roman"/>
                <w:color w:val="000000" w:themeColor="text1"/>
                <w:lang w:val="de-DE"/>
              </w:rPr>
            </w:pPr>
            <w:r>
              <w:rPr>
                <w:rFonts w:ascii="Times New Roman" w:hAnsi="Times New Roman" w:cs="Times New Roman"/>
                <w:color w:val="000000" w:themeColor="text1"/>
                <w:lang w:val="de-DE"/>
              </w:rPr>
              <w:t>UK</w:t>
            </w:r>
          </w:p>
        </w:tc>
        <w:tc>
          <w:tcPr>
            <w:tcW w:w="1743" w:type="dxa"/>
            <w:tcBorders>
              <w:top w:val="single" w:sz="8" w:space="0" w:color="FFFFFF"/>
              <w:left w:val="single" w:sz="8" w:space="0" w:color="FFFFFF"/>
              <w:bottom w:val="single" w:sz="8" w:space="0" w:color="FFFFFF"/>
              <w:right w:val="single" w:sz="8" w:space="0" w:color="FFFFFF"/>
            </w:tcBorders>
            <w:shd w:val="clear" w:color="auto" w:fill="CBCDD3"/>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lang w:val="de-DE"/>
              </w:rPr>
            </w:pPr>
            <w:r>
              <w:rPr>
                <w:rFonts w:ascii="Times New Roman" w:hAnsi="Times New Roman" w:cs="Times New Roman"/>
                <w:color w:val="000000" w:themeColor="text1"/>
                <w:lang w:val="de-DE"/>
              </w:rPr>
              <w:t>2008</w:t>
            </w:r>
          </w:p>
        </w:tc>
        <w:tc>
          <w:tcPr>
            <w:tcW w:w="2147"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US$ 2,5</w:t>
            </w:r>
          </w:p>
        </w:tc>
      </w:tr>
      <w:tr w:rsidR="006067BB" w:rsidRPr="00686357" w:rsidTr="00503CD1">
        <w:trPr>
          <w:trHeight w:val="508"/>
          <w:jc w:val="center"/>
        </w:trPr>
        <w:tc>
          <w:tcPr>
            <w:tcW w:w="612"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5</w:t>
            </w:r>
          </w:p>
        </w:tc>
        <w:tc>
          <w:tcPr>
            <w:tcW w:w="1769"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Tata Motors</w:t>
            </w:r>
          </w:p>
        </w:tc>
        <w:tc>
          <w:tcPr>
            <w:tcW w:w="197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J</w:t>
            </w:r>
            <w:r>
              <w:rPr>
                <w:rFonts w:ascii="Times New Roman" w:hAnsi="Times New Roman" w:cs="Times New Roman"/>
                <w:color w:val="000000" w:themeColor="text1"/>
                <w:lang w:val="de-DE"/>
              </w:rPr>
              <w:t xml:space="preserve">aguar </w:t>
            </w:r>
            <w:r w:rsidRPr="00686357">
              <w:rPr>
                <w:rFonts w:ascii="Times New Roman" w:hAnsi="Times New Roman" w:cs="Times New Roman"/>
                <w:color w:val="000000" w:themeColor="text1"/>
                <w:lang w:val="de-DE"/>
              </w:rPr>
              <w:t>L</w:t>
            </w:r>
            <w:r>
              <w:rPr>
                <w:rFonts w:ascii="Times New Roman" w:hAnsi="Times New Roman" w:cs="Times New Roman"/>
                <w:color w:val="000000" w:themeColor="text1"/>
                <w:lang w:val="de-DE"/>
              </w:rPr>
              <w:t xml:space="preserve">and </w:t>
            </w:r>
            <w:r w:rsidRPr="00686357">
              <w:rPr>
                <w:rFonts w:ascii="Times New Roman" w:hAnsi="Times New Roman" w:cs="Times New Roman"/>
                <w:color w:val="000000" w:themeColor="text1"/>
                <w:lang w:val="de-DE"/>
              </w:rPr>
              <w:t>R</w:t>
            </w:r>
            <w:r>
              <w:rPr>
                <w:rFonts w:ascii="Times New Roman" w:hAnsi="Times New Roman" w:cs="Times New Roman"/>
                <w:color w:val="000000" w:themeColor="text1"/>
                <w:lang w:val="de-DE"/>
              </w:rPr>
              <w:t>over</w:t>
            </w:r>
          </w:p>
        </w:tc>
        <w:tc>
          <w:tcPr>
            <w:tcW w:w="1453" w:type="dxa"/>
            <w:tcBorders>
              <w:top w:val="single" w:sz="8" w:space="0" w:color="FFFFFF"/>
              <w:left w:val="single" w:sz="8" w:space="0" w:color="FFFFFF"/>
              <w:bottom w:val="single" w:sz="8" w:space="0" w:color="FFFFFF"/>
              <w:right w:val="single" w:sz="8" w:space="0" w:color="FFFFFF"/>
            </w:tcBorders>
            <w:shd w:val="clear" w:color="auto" w:fill="E7E8EA"/>
          </w:tcPr>
          <w:p w:rsidR="006067BB" w:rsidRDefault="006067BB" w:rsidP="00503CD1">
            <w:pPr>
              <w:autoSpaceDE w:val="0"/>
              <w:autoSpaceDN w:val="0"/>
              <w:adjustRightInd w:val="0"/>
              <w:spacing w:after="0" w:line="240" w:lineRule="auto"/>
              <w:rPr>
                <w:rFonts w:ascii="Times New Roman" w:hAnsi="Times New Roman" w:cs="Times New Roman"/>
                <w:color w:val="000000" w:themeColor="text1"/>
                <w:lang w:val="de-DE"/>
              </w:rPr>
            </w:pPr>
            <w:r>
              <w:rPr>
                <w:rFonts w:ascii="Times New Roman" w:hAnsi="Times New Roman" w:cs="Times New Roman"/>
                <w:color w:val="000000" w:themeColor="text1"/>
                <w:lang w:val="de-DE"/>
              </w:rPr>
              <w:t>UK</w:t>
            </w:r>
          </w:p>
        </w:tc>
        <w:tc>
          <w:tcPr>
            <w:tcW w:w="1743" w:type="dxa"/>
            <w:tcBorders>
              <w:top w:val="single" w:sz="8" w:space="0" w:color="FFFFFF"/>
              <w:left w:val="single" w:sz="8" w:space="0" w:color="FFFFFF"/>
              <w:bottom w:val="single" w:sz="8" w:space="0" w:color="FFFFFF"/>
              <w:right w:val="single" w:sz="8" w:space="0" w:color="FFFFFF"/>
            </w:tcBorders>
            <w:shd w:val="clear" w:color="auto" w:fill="E7E8EA"/>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lang w:val="de-DE"/>
              </w:rPr>
            </w:pPr>
            <w:r>
              <w:rPr>
                <w:rFonts w:ascii="Times New Roman" w:hAnsi="Times New Roman" w:cs="Times New Roman"/>
                <w:color w:val="000000" w:themeColor="text1"/>
                <w:lang w:val="de-DE"/>
              </w:rPr>
              <w:t>2008</w:t>
            </w:r>
          </w:p>
        </w:tc>
        <w:tc>
          <w:tcPr>
            <w:tcW w:w="214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6067BB" w:rsidRPr="00686357" w:rsidRDefault="006067BB"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US$ 2,3</w:t>
            </w:r>
          </w:p>
        </w:tc>
      </w:tr>
    </w:tbl>
    <w:p w:rsidR="001A41B4" w:rsidRPr="00686357" w:rsidRDefault="001A41B4" w:rsidP="00503CD1">
      <w:pPr>
        <w:autoSpaceDE w:val="0"/>
        <w:autoSpaceDN w:val="0"/>
        <w:adjustRightInd w:val="0"/>
        <w:spacing w:after="0" w:line="480" w:lineRule="auto"/>
        <w:jc w:val="both"/>
        <w:rPr>
          <w:rFonts w:ascii="Times New Roman" w:hAnsi="Times New Roman" w:cs="Times New Roman"/>
          <w:color w:val="000000" w:themeColor="text1"/>
        </w:rPr>
      </w:pPr>
    </w:p>
    <w:p w:rsidR="001A41B4" w:rsidRDefault="00960910" w:rsidP="00503CD1">
      <w:pPr>
        <w:autoSpaceDE w:val="0"/>
        <w:autoSpaceDN w:val="0"/>
        <w:adjustRightInd w:val="0"/>
        <w:spacing w:after="0" w:line="48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rPr>
        <w:t xml:space="preserve">Table 1. </w:t>
      </w:r>
      <w:r w:rsidR="001A41B4" w:rsidRPr="00686357">
        <w:rPr>
          <w:rFonts w:ascii="Times New Roman" w:hAnsi="Times New Roman" w:cs="Times New Roman"/>
          <w:color w:val="000000" w:themeColor="text1"/>
        </w:rPr>
        <w:t>Major Indian Acquisitions (</w:t>
      </w:r>
      <w:r w:rsidR="0094716D">
        <w:rPr>
          <w:rFonts w:ascii="Times New Roman" w:hAnsi="Times New Roman" w:cs="Times New Roman"/>
          <w:color w:val="000000" w:themeColor="text1"/>
        </w:rPr>
        <w:t xml:space="preserve">Source: </w:t>
      </w:r>
      <w:r w:rsidR="001A41B4" w:rsidRPr="00686357">
        <w:rPr>
          <w:rFonts w:ascii="Times New Roman" w:hAnsi="Times New Roman" w:cs="Times New Roman"/>
          <w:color w:val="000000" w:themeColor="text1"/>
        </w:rPr>
        <w:t>UNCTAD, 2012</w:t>
      </w:r>
      <w:r w:rsidR="0094716D">
        <w:rPr>
          <w:rFonts w:ascii="Times New Roman" w:hAnsi="Times New Roman" w:cs="Times New Roman"/>
          <w:color w:val="000000" w:themeColor="text1"/>
        </w:rPr>
        <w:t>; various media reports</w:t>
      </w:r>
      <w:r w:rsidR="001A41B4" w:rsidRPr="00686357">
        <w:rPr>
          <w:rFonts w:ascii="Times New Roman" w:hAnsi="Times New Roman" w:cs="Times New Roman"/>
          <w:color w:val="000000" w:themeColor="text1"/>
        </w:rPr>
        <w:t>)</w:t>
      </w:r>
    </w:p>
    <w:p w:rsidR="00F761DD" w:rsidRPr="00686357" w:rsidRDefault="00F761DD" w:rsidP="00503CD1">
      <w:pPr>
        <w:autoSpaceDE w:val="0"/>
        <w:autoSpaceDN w:val="0"/>
        <w:adjustRightInd w:val="0"/>
        <w:spacing w:after="0" w:line="480" w:lineRule="auto"/>
        <w:jc w:val="both"/>
        <w:rPr>
          <w:rFonts w:ascii="Times New Roman" w:hAnsi="Times New Roman" w:cs="Times New Roman"/>
          <w:color w:val="000000" w:themeColor="text1"/>
        </w:rPr>
      </w:pPr>
    </w:p>
    <w:p w:rsidR="00A43516" w:rsidRDefault="00A43516" w:rsidP="00503CD1">
      <w:pPr>
        <w:autoSpaceDE w:val="0"/>
        <w:autoSpaceDN w:val="0"/>
        <w:adjustRightInd w:val="0"/>
        <w:spacing w:after="0" w:line="480" w:lineRule="auto"/>
        <w:jc w:val="both"/>
        <w:rPr>
          <w:rFonts w:ascii="Times New Roman" w:hAnsi="Times New Roman" w:cs="Times New Roman"/>
        </w:rPr>
      </w:pPr>
      <w:r w:rsidRPr="00686357">
        <w:rPr>
          <w:rFonts w:ascii="Times New Roman" w:hAnsi="Times New Roman" w:cs="Times New Roman"/>
        </w:rPr>
        <w:t xml:space="preserve">Additionally, OFDI from India experienced </w:t>
      </w:r>
      <w:r w:rsidR="00354094" w:rsidRPr="00686357">
        <w:rPr>
          <w:rFonts w:ascii="Times New Roman" w:hAnsi="Times New Roman" w:cs="Times New Roman"/>
        </w:rPr>
        <w:t>an increase</w:t>
      </w:r>
      <w:r w:rsidRPr="00686357">
        <w:rPr>
          <w:rFonts w:ascii="Times New Roman" w:hAnsi="Times New Roman" w:cs="Times New Roman"/>
        </w:rPr>
        <w:t xml:space="preserve"> in greenfield projects. </w:t>
      </w:r>
      <w:r w:rsidR="007C6F66">
        <w:rPr>
          <w:rFonts w:ascii="Times New Roman" w:hAnsi="Times New Roman" w:cs="Times New Roman"/>
        </w:rPr>
        <w:t xml:space="preserve">Table 2 shows most notable greenfield investments by the Indian firms, apart from </w:t>
      </w:r>
      <w:r w:rsidRPr="00686357">
        <w:rPr>
          <w:rFonts w:ascii="Times New Roman" w:hAnsi="Times New Roman" w:cs="Times New Roman"/>
        </w:rPr>
        <w:t>Jindal’s US$ 3 billion greenfield investment in fossil fuel and power in Mozambique, and Essar group’s US$ 4 billion greenfield project in iron-ore and mining in Zimbabwe (UNCTAD, 2012)</w:t>
      </w:r>
      <w:r w:rsidR="007C6F66">
        <w:rPr>
          <w:rFonts w:ascii="Times New Roman" w:hAnsi="Times New Roman" w:cs="Times New Roman"/>
        </w:rPr>
        <w:t>, o</w:t>
      </w:r>
      <w:r w:rsidR="008209B4">
        <w:rPr>
          <w:rFonts w:ascii="Times New Roman" w:hAnsi="Times New Roman" w:cs="Times New Roman"/>
        </w:rPr>
        <w:t xml:space="preserve">ther </w:t>
      </w:r>
      <w:r w:rsidR="008209B4" w:rsidRPr="008209B4">
        <w:rPr>
          <w:rFonts w:ascii="Times New Roman" w:hAnsi="Times New Roman" w:cs="Times New Roman"/>
        </w:rPr>
        <w:t xml:space="preserve">major greenfield </w:t>
      </w:r>
      <w:r w:rsidR="008209B4">
        <w:rPr>
          <w:rFonts w:ascii="Times New Roman" w:hAnsi="Times New Roman" w:cs="Times New Roman"/>
        </w:rPr>
        <w:t>projects</w:t>
      </w:r>
      <w:r w:rsidR="008209B4" w:rsidRPr="008209B4">
        <w:rPr>
          <w:rFonts w:ascii="Times New Roman" w:hAnsi="Times New Roman" w:cs="Times New Roman"/>
        </w:rPr>
        <w:t xml:space="preserve"> were</w:t>
      </w:r>
      <w:r w:rsidR="008209B4">
        <w:rPr>
          <w:rFonts w:ascii="Times New Roman" w:hAnsi="Times New Roman" w:cs="Times New Roman"/>
        </w:rPr>
        <w:t xml:space="preserve"> the investment of US$ 4 billion in Africa’s mining sector </w:t>
      </w:r>
      <w:r w:rsidR="008209B4" w:rsidRPr="008209B4">
        <w:rPr>
          <w:rFonts w:ascii="Times New Roman" w:hAnsi="Times New Roman" w:cs="Times New Roman"/>
        </w:rPr>
        <w:t>by Vedanta Resources, India's largest mining</w:t>
      </w:r>
      <w:r w:rsidR="008209B4">
        <w:rPr>
          <w:rFonts w:ascii="Times New Roman" w:hAnsi="Times New Roman" w:cs="Times New Roman"/>
        </w:rPr>
        <w:t xml:space="preserve"> and non-ferrous metals company, and Tata Groups’ US$ 1.7 billion investment in automobile and hospitality businesses </w:t>
      </w:r>
      <w:r w:rsidR="00EE3863">
        <w:rPr>
          <w:rFonts w:ascii="Times New Roman" w:hAnsi="Times New Roman" w:cs="Times New Roman"/>
        </w:rPr>
        <w:t xml:space="preserve">also </w:t>
      </w:r>
      <w:r w:rsidR="008209B4">
        <w:rPr>
          <w:rFonts w:ascii="Times New Roman" w:hAnsi="Times New Roman" w:cs="Times New Roman"/>
        </w:rPr>
        <w:t xml:space="preserve">in the </w:t>
      </w:r>
      <w:r w:rsidR="00EE3863">
        <w:rPr>
          <w:rFonts w:ascii="Times New Roman" w:hAnsi="Times New Roman" w:cs="Times New Roman"/>
        </w:rPr>
        <w:t xml:space="preserve">African </w:t>
      </w:r>
      <w:r w:rsidR="008209B4">
        <w:rPr>
          <w:rFonts w:ascii="Times New Roman" w:hAnsi="Times New Roman" w:cs="Times New Roman"/>
        </w:rPr>
        <w:t xml:space="preserve">continent (Krishnan, 2013). </w:t>
      </w:r>
      <w:r w:rsidR="00C168C0" w:rsidRPr="00686357">
        <w:rPr>
          <w:rFonts w:ascii="Times New Roman" w:hAnsi="Times New Roman" w:cs="Times New Roman"/>
        </w:rPr>
        <w:t>India</w:t>
      </w:r>
      <w:r w:rsidR="00C51A0E">
        <w:rPr>
          <w:rFonts w:ascii="Times New Roman" w:hAnsi="Times New Roman" w:cs="Times New Roman"/>
        </w:rPr>
        <w:t>n</w:t>
      </w:r>
      <w:r w:rsidR="00C168C0" w:rsidRPr="00686357">
        <w:rPr>
          <w:rFonts w:ascii="Times New Roman" w:hAnsi="Times New Roman" w:cs="Times New Roman"/>
        </w:rPr>
        <w:t xml:space="preserve"> firms focus on M&amp;As for investments in developed markets and prefer greenfield investments for projects in other emerging markets.  Of the total value of Indian cross-border M&amp;As between 2000 and 2009, developed markets accounted for 83 percent (Sauvant </w:t>
      </w:r>
      <w:r w:rsidR="00CC21A0">
        <w:rPr>
          <w:rFonts w:ascii="Times New Roman" w:hAnsi="Times New Roman" w:cs="Times New Roman"/>
        </w:rPr>
        <w:t>&amp;</w:t>
      </w:r>
      <w:r w:rsidR="00C168C0" w:rsidRPr="00686357">
        <w:rPr>
          <w:rFonts w:ascii="Times New Roman" w:hAnsi="Times New Roman" w:cs="Times New Roman"/>
        </w:rPr>
        <w:t xml:space="preserve"> Pradhan, 2010). </w:t>
      </w:r>
      <w:r w:rsidRPr="00686357">
        <w:rPr>
          <w:rFonts w:ascii="Times New Roman" w:hAnsi="Times New Roman" w:cs="Times New Roman"/>
        </w:rPr>
        <w:t xml:space="preserve">In recent years, firms in service industries have also become increasingly active in overseas markets, particularly in developed </w:t>
      </w:r>
      <w:r w:rsidR="00C168C0" w:rsidRPr="00686357">
        <w:rPr>
          <w:rFonts w:ascii="Times New Roman" w:hAnsi="Times New Roman" w:cs="Times New Roman"/>
        </w:rPr>
        <w:t>markets</w:t>
      </w:r>
      <w:r w:rsidRPr="00686357">
        <w:rPr>
          <w:rFonts w:ascii="Times New Roman" w:hAnsi="Times New Roman" w:cs="Times New Roman"/>
        </w:rPr>
        <w:t xml:space="preserve">. For example, in early 2012, the State Bank of India started offering mortgages in the UK. </w:t>
      </w:r>
      <w:r w:rsidR="00C51A0E">
        <w:rPr>
          <w:rFonts w:ascii="Times New Roman" w:hAnsi="Times New Roman" w:cs="Times New Roman"/>
        </w:rPr>
        <w:t xml:space="preserve">In </w:t>
      </w:r>
      <w:r w:rsidRPr="00686357">
        <w:rPr>
          <w:rFonts w:ascii="Times New Roman" w:hAnsi="Times New Roman" w:cs="Times New Roman"/>
        </w:rPr>
        <w:t xml:space="preserve">Russia the State Bank of India and Canara Bank set up the Commercial Bank of India to facilitate trade and economic activities between the two countries. </w:t>
      </w:r>
      <w:r w:rsidR="006B5E27" w:rsidRPr="00686357">
        <w:rPr>
          <w:rFonts w:ascii="Times New Roman" w:hAnsi="Times New Roman" w:cs="Times New Roman"/>
        </w:rPr>
        <w:t xml:space="preserve">ICICI, </w:t>
      </w:r>
      <w:r w:rsidR="006B5E27" w:rsidRPr="00686357">
        <w:rPr>
          <w:rFonts w:ascii="Times New Roman" w:hAnsi="Times New Roman" w:cs="Times New Roman"/>
        </w:rPr>
        <w:lastRenderedPageBreak/>
        <w:t xml:space="preserve">another Indian bank, with a strong presence in Germany, helps to facilitate financing of cross-border Indian-German deals. </w:t>
      </w:r>
      <w:r w:rsidRPr="00686357">
        <w:rPr>
          <w:rFonts w:ascii="Times New Roman" w:hAnsi="Times New Roman" w:cs="Times New Roman"/>
        </w:rPr>
        <w:t xml:space="preserve">Further OFDI in the </w:t>
      </w:r>
      <w:r w:rsidRPr="00686357">
        <w:rPr>
          <w:rFonts w:ascii="Times New Roman" w:hAnsi="Times New Roman" w:cs="Times New Roman"/>
          <w:color w:val="000000"/>
        </w:rPr>
        <w:t>services sector has been directed into business services, data processing, financial services, architecture and engineering, and other technical consultancy activities. OFDI in the manufacturing sector includes agriculture machineries and equipment, basic organic chemicals, drugs, medicines and allied products, and refined petroleum products</w:t>
      </w:r>
      <w:r w:rsidR="004D605C">
        <w:rPr>
          <w:rFonts w:ascii="Times New Roman" w:hAnsi="Times New Roman" w:cs="Times New Roman"/>
          <w:color w:val="000000"/>
        </w:rPr>
        <w:t xml:space="preserve"> </w:t>
      </w:r>
      <w:r w:rsidR="004D605C" w:rsidRPr="00686357">
        <w:rPr>
          <w:rFonts w:ascii="Times New Roman" w:hAnsi="Times New Roman" w:cs="Times New Roman"/>
        </w:rPr>
        <w:t>(Holtbrügge et al., 2013).</w:t>
      </w:r>
    </w:p>
    <w:p w:rsidR="00793634" w:rsidRDefault="00793634" w:rsidP="00503CD1">
      <w:pPr>
        <w:autoSpaceDE w:val="0"/>
        <w:autoSpaceDN w:val="0"/>
        <w:adjustRightInd w:val="0"/>
        <w:spacing w:after="0" w:line="480" w:lineRule="auto"/>
        <w:jc w:val="both"/>
        <w:rPr>
          <w:rFonts w:ascii="Times New Roman" w:hAnsi="Times New Roman" w:cs="Times New Roman"/>
        </w:rPr>
      </w:pPr>
    </w:p>
    <w:tbl>
      <w:tblPr>
        <w:tblW w:w="9694" w:type="dxa"/>
        <w:jc w:val="center"/>
        <w:tblLayout w:type="fixed"/>
        <w:tblCellMar>
          <w:left w:w="0" w:type="dxa"/>
          <w:right w:w="0" w:type="dxa"/>
        </w:tblCellMar>
        <w:tblLook w:val="0420" w:firstRow="1" w:lastRow="0" w:firstColumn="0" w:lastColumn="0" w:noHBand="0" w:noVBand="1"/>
      </w:tblPr>
      <w:tblGrid>
        <w:gridCol w:w="649"/>
        <w:gridCol w:w="2472"/>
        <w:gridCol w:w="1559"/>
        <w:gridCol w:w="2268"/>
        <w:gridCol w:w="1418"/>
        <w:gridCol w:w="1328"/>
      </w:tblGrid>
      <w:tr w:rsidR="009D27A0" w:rsidRPr="00686357" w:rsidTr="009D27A0">
        <w:trPr>
          <w:trHeight w:val="526"/>
          <w:jc w:val="center"/>
        </w:trPr>
        <w:tc>
          <w:tcPr>
            <w:tcW w:w="649"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9D27A0" w:rsidRPr="00686357" w:rsidRDefault="009D27A0" w:rsidP="00503CD1">
            <w:pPr>
              <w:autoSpaceDE w:val="0"/>
              <w:autoSpaceDN w:val="0"/>
              <w:adjustRightInd w:val="0"/>
              <w:spacing w:after="0" w:line="240" w:lineRule="auto"/>
              <w:jc w:val="center"/>
              <w:rPr>
                <w:rFonts w:ascii="Times New Roman" w:hAnsi="Times New Roman" w:cs="Times New Roman"/>
                <w:color w:val="FFFFFF" w:themeColor="background1"/>
              </w:rPr>
            </w:pPr>
            <w:r w:rsidRPr="00686357">
              <w:rPr>
                <w:rFonts w:ascii="Times New Roman" w:hAnsi="Times New Roman" w:cs="Times New Roman"/>
                <w:b/>
                <w:bCs/>
                <w:color w:val="FFFFFF" w:themeColor="background1"/>
                <w:lang w:val="de-DE"/>
              </w:rPr>
              <w:t>No.</w:t>
            </w:r>
          </w:p>
        </w:tc>
        <w:tc>
          <w:tcPr>
            <w:tcW w:w="2472"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9D27A0" w:rsidRPr="00686357" w:rsidRDefault="009D27A0" w:rsidP="00503CD1">
            <w:pPr>
              <w:autoSpaceDE w:val="0"/>
              <w:autoSpaceDN w:val="0"/>
              <w:adjustRightInd w:val="0"/>
              <w:spacing w:after="0" w:line="240" w:lineRule="auto"/>
              <w:jc w:val="center"/>
              <w:rPr>
                <w:rFonts w:ascii="Times New Roman" w:hAnsi="Times New Roman" w:cs="Times New Roman"/>
                <w:color w:val="FFFFFF" w:themeColor="background1"/>
              </w:rPr>
            </w:pPr>
            <w:r w:rsidRPr="00686357">
              <w:rPr>
                <w:rFonts w:ascii="Times New Roman" w:hAnsi="Times New Roman" w:cs="Times New Roman"/>
                <w:b/>
                <w:bCs/>
                <w:color w:val="FFFFFF" w:themeColor="background1"/>
                <w:lang w:val="de-DE"/>
              </w:rPr>
              <w:t>Indian Firm</w:t>
            </w:r>
          </w:p>
        </w:tc>
        <w:tc>
          <w:tcPr>
            <w:tcW w:w="1559"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9D27A0" w:rsidRPr="00686357" w:rsidRDefault="009D27A0" w:rsidP="00503CD1">
            <w:pPr>
              <w:autoSpaceDE w:val="0"/>
              <w:autoSpaceDN w:val="0"/>
              <w:adjustRightInd w:val="0"/>
              <w:spacing w:after="0" w:line="240" w:lineRule="auto"/>
              <w:jc w:val="center"/>
              <w:rPr>
                <w:rFonts w:ascii="Times New Roman" w:hAnsi="Times New Roman" w:cs="Times New Roman"/>
                <w:color w:val="FFFFFF" w:themeColor="background1"/>
              </w:rPr>
            </w:pPr>
            <w:r w:rsidRPr="00686357">
              <w:rPr>
                <w:rFonts w:ascii="Times New Roman" w:hAnsi="Times New Roman" w:cs="Times New Roman"/>
                <w:b/>
                <w:bCs/>
                <w:color w:val="FFFFFF" w:themeColor="background1"/>
                <w:lang w:val="de-DE"/>
              </w:rPr>
              <w:t>Country</w:t>
            </w:r>
          </w:p>
        </w:tc>
        <w:tc>
          <w:tcPr>
            <w:tcW w:w="2268" w:type="dxa"/>
            <w:tcBorders>
              <w:top w:val="single" w:sz="8" w:space="0" w:color="FFFFFF"/>
              <w:left w:val="single" w:sz="8" w:space="0" w:color="FFFFFF"/>
              <w:bottom w:val="single" w:sz="24" w:space="0" w:color="FFFFFF"/>
              <w:right w:val="single" w:sz="8" w:space="0" w:color="FFFFFF"/>
            </w:tcBorders>
            <w:shd w:val="clear" w:color="auto" w:fill="003366"/>
          </w:tcPr>
          <w:p w:rsidR="009D27A0" w:rsidRPr="00686357" w:rsidRDefault="009D27A0" w:rsidP="00503CD1">
            <w:pPr>
              <w:autoSpaceDE w:val="0"/>
              <w:autoSpaceDN w:val="0"/>
              <w:adjustRightInd w:val="0"/>
              <w:spacing w:after="0" w:line="240" w:lineRule="auto"/>
              <w:jc w:val="center"/>
              <w:rPr>
                <w:rFonts w:ascii="Times New Roman" w:hAnsi="Times New Roman" w:cs="Times New Roman"/>
                <w:b/>
                <w:bCs/>
                <w:color w:val="FFFFFF" w:themeColor="background1"/>
                <w:lang w:val="de-DE"/>
              </w:rPr>
            </w:pPr>
            <w:r>
              <w:rPr>
                <w:rFonts w:ascii="Times New Roman" w:hAnsi="Times New Roman" w:cs="Times New Roman"/>
                <w:b/>
                <w:bCs/>
                <w:color w:val="FFFFFF" w:themeColor="background1"/>
                <w:lang w:val="de-DE"/>
              </w:rPr>
              <w:t>Acquired Entity</w:t>
            </w:r>
          </w:p>
        </w:tc>
        <w:tc>
          <w:tcPr>
            <w:tcW w:w="1418" w:type="dxa"/>
            <w:tcBorders>
              <w:top w:val="single" w:sz="8" w:space="0" w:color="FFFFFF"/>
              <w:left w:val="single" w:sz="8" w:space="0" w:color="FFFFFF"/>
              <w:bottom w:val="single" w:sz="24" w:space="0" w:color="FFFFFF"/>
              <w:right w:val="single" w:sz="8" w:space="0" w:color="FFFFFF"/>
            </w:tcBorders>
            <w:shd w:val="clear" w:color="auto" w:fill="003366"/>
          </w:tcPr>
          <w:p w:rsidR="009D27A0" w:rsidRPr="00686357" w:rsidRDefault="009D27A0" w:rsidP="00503CD1">
            <w:pPr>
              <w:autoSpaceDE w:val="0"/>
              <w:autoSpaceDN w:val="0"/>
              <w:adjustRightInd w:val="0"/>
              <w:spacing w:after="0" w:line="240" w:lineRule="auto"/>
              <w:jc w:val="center"/>
              <w:rPr>
                <w:rFonts w:ascii="Times New Roman" w:hAnsi="Times New Roman" w:cs="Times New Roman"/>
                <w:b/>
                <w:bCs/>
                <w:color w:val="FFFFFF" w:themeColor="background1"/>
                <w:lang w:val="de-DE"/>
              </w:rPr>
            </w:pPr>
            <w:r>
              <w:rPr>
                <w:rFonts w:ascii="Times New Roman" w:hAnsi="Times New Roman" w:cs="Times New Roman"/>
                <w:b/>
                <w:bCs/>
                <w:color w:val="FFFFFF" w:themeColor="background1"/>
                <w:lang w:val="de-DE"/>
              </w:rPr>
              <w:t>Year of Investment</w:t>
            </w:r>
          </w:p>
        </w:tc>
        <w:tc>
          <w:tcPr>
            <w:tcW w:w="1328"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9D27A0" w:rsidRPr="00686357" w:rsidRDefault="009D27A0" w:rsidP="00503CD1">
            <w:pPr>
              <w:autoSpaceDE w:val="0"/>
              <w:autoSpaceDN w:val="0"/>
              <w:adjustRightInd w:val="0"/>
              <w:spacing w:after="0" w:line="240" w:lineRule="auto"/>
              <w:jc w:val="center"/>
              <w:rPr>
                <w:rFonts w:ascii="Times New Roman" w:hAnsi="Times New Roman" w:cs="Times New Roman"/>
                <w:color w:val="FFFFFF" w:themeColor="background1"/>
              </w:rPr>
            </w:pPr>
            <w:r w:rsidRPr="00686357">
              <w:rPr>
                <w:rFonts w:ascii="Times New Roman" w:hAnsi="Times New Roman" w:cs="Times New Roman"/>
                <w:b/>
                <w:bCs/>
                <w:color w:val="FFFFFF" w:themeColor="background1"/>
                <w:lang w:val="de-DE"/>
              </w:rPr>
              <w:t>Amount (billion)</w:t>
            </w:r>
          </w:p>
        </w:tc>
      </w:tr>
      <w:tr w:rsidR="009D27A0" w:rsidRPr="00686357" w:rsidTr="009D27A0">
        <w:trPr>
          <w:trHeight w:val="664"/>
          <w:jc w:val="center"/>
        </w:trPr>
        <w:tc>
          <w:tcPr>
            <w:tcW w:w="649"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9D27A0" w:rsidRPr="00686357" w:rsidRDefault="009D27A0" w:rsidP="00503CD1">
            <w:pPr>
              <w:autoSpaceDE w:val="0"/>
              <w:autoSpaceDN w:val="0"/>
              <w:adjustRightInd w:val="0"/>
              <w:spacing w:after="0" w:line="240" w:lineRule="auto"/>
              <w:rPr>
                <w:rFonts w:ascii="Times New Roman" w:hAnsi="Times New Roman" w:cs="Times New Roman"/>
                <w:color w:val="000000"/>
              </w:rPr>
            </w:pPr>
            <w:r w:rsidRPr="00686357">
              <w:rPr>
                <w:rFonts w:ascii="Times New Roman" w:hAnsi="Times New Roman" w:cs="Times New Roman"/>
                <w:color w:val="000000"/>
                <w:lang w:val="de-DE"/>
              </w:rPr>
              <w:t>1</w:t>
            </w:r>
          </w:p>
        </w:tc>
        <w:tc>
          <w:tcPr>
            <w:tcW w:w="2472"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9D27A0" w:rsidRPr="00B178BC" w:rsidRDefault="009D27A0" w:rsidP="00503CD1">
            <w:pPr>
              <w:autoSpaceDE w:val="0"/>
              <w:autoSpaceDN w:val="0"/>
              <w:adjustRightInd w:val="0"/>
              <w:spacing w:after="0" w:line="240" w:lineRule="auto"/>
              <w:rPr>
                <w:rFonts w:ascii="Times New Roman" w:hAnsi="Times New Roman" w:cs="Times New Roman"/>
                <w:color w:val="000000"/>
              </w:rPr>
            </w:pPr>
            <w:r w:rsidRPr="00B178BC">
              <w:rPr>
                <w:rFonts w:ascii="Times New Roman" w:hAnsi="Times New Roman" w:cs="Times New Roman"/>
                <w:color w:val="000000"/>
              </w:rPr>
              <w:t>Jindal Group</w:t>
            </w:r>
          </w:p>
          <w:p w:rsidR="009D27A0" w:rsidRPr="00686357" w:rsidRDefault="009D27A0" w:rsidP="00503CD1">
            <w:pPr>
              <w:autoSpaceDE w:val="0"/>
              <w:autoSpaceDN w:val="0"/>
              <w:adjustRightInd w:val="0"/>
              <w:spacing w:after="0" w:line="240" w:lineRule="auto"/>
              <w:rPr>
                <w:rFonts w:ascii="Times New Roman" w:hAnsi="Times New Roman" w:cs="Times New Roman"/>
                <w:color w:val="000000"/>
              </w:rPr>
            </w:pPr>
            <w:r w:rsidRPr="00B178BC">
              <w:rPr>
                <w:rFonts w:ascii="Times New Roman" w:hAnsi="Times New Roman" w:cs="Times New Roman"/>
                <w:color w:val="000000"/>
              </w:rPr>
              <w:t>(Jindal Steel &amp; Power Ltd.)</w:t>
            </w:r>
          </w:p>
        </w:tc>
        <w:tc>
          <w:tcPr>
            <w:tcW w:w="1559"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9D27A0" w:rsidRPr="00686357" w:rsidRDefault="009D27A0" w:rsidP="00503CD1">
            <w:pPr>
              <w:autoSpaceDE w:val="0"/>
              <w:autoSpaceDN w:val="0"/>
              <w:adjustRightInd w:val="0"/>
              <w:spacing w:after="0" w:line="240" w:lineRule="auto"/>
              <w:rPr>
                <w:rFonts w:ascii="Times New Roman" w:hAnsi="Times New Roman" w:cs="Times New Roman"/>
                <w:color w:val="000000"/>
              </w:rPr>
            </w:pPr>
            <w:r w:rsidRPr="00686357">
              <w:rPr>
                <w:rFonts w:ascii="Times New Roman" w:hAnsi="Times New Roman" w:cs="Times New Roman"/>
                <w:color w:val="000000"/>
                <w:lang w:val="de-DE"/>
              </w:rPr>
              <w:t>Mozambique</w:t>
            </w:r>
          </w:p>
        </w:tc>
        <w:tc>
          <w:tcPr>
            <w:tcW w:w="2268" w:type="dxa"/>
            <w:tcBorders>
              <w:top w:val="single" w:sz="24" w:space="0" w:color="FFFFFF"/>
              <w:left w:val="single" w:sz="8" w:space="0" w:color="FFFFFF"/>
              <w:bottom w:val="single" w:sz="8" w:space="0" w:color="FFFFFF"/>
              <w:right w:val="single" w:sz="8" w:space="0" w:color="FFFFFF"/>
            </w:tcBorders>
            <w:shd w:val="clear" w:color="auto" w:fill="CBCDD3"/>
          </w:tcPr>
          <w:p w:rsidR="009D27A0" w:rsidRPr="00686357" w:rsidRDefault="009D27A0" w:rsidP="00503CD1">
            <w:pPr>
              <w:autoSpaceDE w:val="0"/>
              <w:autoSpaceDN w:val="0"/>
              <w:adjustRightInd w:val="0"/>
              <w:spacing w:after="0" w:line="240" w:lineRule="auto"/>
              <w:rPr>
                <w:rFonts w:ascii="Times New Roman" w:hAnsi="Times New Roman" w:cs="Times New Roman"/>
                <w:color w:val="000000"/>
                <w:lang w:val="de-DE"/>
              </w:rPr>
            </w:pPr>
            <w:r>
              <w:rPr>
                <w:rFonts w:ascii="Times New Roman" w:hAnsi="Times New Roman" w:cs="Times New Roman"/>
                <w:color w:val="000000"/>
                <w:lang w:val="de-DE"/>
              </w:rPr>
              <w:t>Jindal Coal Operations</w:t>
            </w:r>
          </w:p>
        </w:tc>
        <w:tc>
          <w:tcPr>
            <w:tcW w:w="1418" w:type="dxa"/>
            <w:tcBorders>
              <w:top w:val="single" w:sz="24" w:space="0" w:color="FFFFFF"/>
              <w:left w:val="single" w:sz="8" w:space="0" w:color="FFFFFF"/>
              <w:bottom w:val="single" w:sz="8" w:space="0" w:color="FFFFFF"/>
              <w:right w:val="single" w:sz="8" w:space="0" w:color="FFFFFF"/>
            </w:tcBorders>
            <w:shd w:val="clear" w:color="auto" w:fill="CBCDD3"/>
          </w:tcPr>
          <w:p w:rsidR="009D27A0" w:rsidRPr="00686357" w:rsidRDefault="009D27A0" w:rsidP="00503CD1">
            <w:pPr>
              <w:autoSpaceDE w:val="0"/>
              <w:autoSpaceDN w:val="0"/>
              <w:adjustRightInd w:val="0"/>
              <w:spacing w:after="0" w:line="240" w:lineRule="auto"/>
              <w:rPr>
                <w:rFonts w:ascii="Times New Roman" w:hAnsi="Times New Roman" w:cs="Times New Roman"/>
                <w:color w:val="000000"/>
                <w:lang w:val="de-DE"/>
              </w:rPr>
            </w:pPr>
            <w:r>
              <w:rPr>
                <w:rFonts w:ascii="Times New Roman" w:hAnsi="Times New Roman" w:cs="Times New Roman"/>
                <w:color w:val="000000"/>
                <w:lang w:val="de-DE"/>
              </w:rPr>
              <w:t>2012</w:t>
            </w:r>
          </w:p>
        </w:tc>
        <w:tc>
          <w:tcPr>
            <w:tcW w:w="1328"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9D27A0" w:rsidRPr="00686357" w:rsidRDefault="009D27A0" w:rsidP="00503CD1">
            <w:pPr>
              <w:autoSpaceDE w:val="0"/>
              <w:autoSpaceDN w:val="0"/>
              <w:adjustRightInd w:val="0"/>
              <w:spacing w:after="0" w:line="240" w:lineRule="auto"/>
              <w:rPr>
                <w:rFonts w:ascii="Times New Roman" w:hAnsi="Times New Roman" w:cs="Times New Roman"/>
                <w:color w:val="000000"/>
              </w:rPr>
            </w:pPr>
            <w:r w:rsidRPr="00686357">
              <w:rPr>
                <w:rFonts w:ascii="Times New Roman" w:hAnsi="Times New Roman" w:cs="Times New Roman"/>
                <w:color w:val="000000"/>
                <w:lang w:val="de-DE"/>
              </w:rPr>
              <w:t>US$ 3</w:t>
            </w:r>
          </w:p>
        </w:tc>
      </w:tr>
      <w:tr w:rsidR="009D27A0" w:rsidRPr="00686357" w:rsidTr="009D27A0">
        <w:trPr>
          <w:trHeight w:val="618"/>
          <w:jc w:val="center"/>
        </w:trPr>
        <w:tc>
          <w:tcPr>
            <w:tcW w:w="649"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D27A0" w:rsidRPr="00686357" w:rsidRDefault="009D27A0" w:rsidP="00503CD1">
            <w:pPr>
              <w:autoSpaceDE w:val="0"/>
              <w:autoSpaceDN w:val="0"/>
              <w:adjustRightInd w:val="0"/>
              <w:spacing w:after="0" w:line="240" w:lineRule="auto"/>
              <w:rPr>
                <w:rFonts w:ascii="Times New Roman" w:hAnsi="Times New Roman" w:cs="Times New Roman"/>
                <w:color w:val="000000"/>
              </w:rPr>
            </w:pPr>
            <w:r w:rsidRPr="00686357">
              <w:rPr>
                <w:rFonts w:ascii="Times New Roman" w:hAnsi="Times New Roman" w:cs="Times New Roman"/>
                <w:color w:val="000000"/>
                <w:lang w:val="de-DE"/>
              </w:rPr>
              <w:t>2</w:t>
            </w:r>
          </w:p>
        </w:tc>
        <w:tc>
          <w:tcPr>
            <w:tcW w:w="2472"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D27A0" w:rsidRPr="00B178BC" w:rsidRDefault="009D27A0" w:rsidP="00503CD1">
            <w:pPr>
              <w:autoSpaceDE w:val="0"/>
              <w:autoSpaceDN w:val="0"/>
              <w:adjustRightInd w:val="0"/>
              <w:spacing w:after="0" w:line="240" w:lineRule="auto"/>
              <w:rPr>
                <w:rFonts w:ascii="Times New Roman" w:hAnsi="Times New Roman" w:cs="Times New Roman"/>
                <w:color w:val="000000"/>
              </w:rPr>
            </w:pPr>
            <w:r w:rsidRPr="00B178BC">
              <w:rPr>
                <w:rFonts w:ascii="Times New Roman" w:hAnsi="Times New Roman" w:cs="Times New Roman"/>
                <w:color w:val="000000"/>
              </w:rPr>
              <w:t>Essar Group</w:t>
            </w:r>
          </w:p>
          <w:p w:rsidR="009D27A0" w:rsidRPr="00686357" w:rsidRDefault="009D27A0" w:rsidP="00503CD1">
            <w:pPr>
              <w:autoSpaceDE w:val="0"/>
              <w:autoSpaceDN w:val="0"/>
              <w:adjustRightInd w:val="0"/>
              <w:spacing w:after="0" w:line="240" w:lineRule="auto"/>
              <w:rPr>
                <w:rFonts w:ascii="Times New Roman" w:hAnsi="Times New Roman" w:cs="Times New Roman"/>
                <w:color w:val="000000"/>
              </w:rPr>
            </w:pPr>
            <w:r w:rsidRPr="00B178BC">
              <w:rPr>
                <w:rFonts w:ascii="Times New Roman" w:hAnsi="Times New Roman" w:cs="Times New Roman"/>
                <w:color w:val="000000"/>
              </w:rPr>
              <w:t xml:space="preserve">(Essar Africa </w:t>
            </w:r>
            <w:r w:rsidR="00A81F73" w:rsidRPr="00B178BC">
              <w:rPr>
                <w:rFonts w:ascii="Times New Roman" w:hAnsi="Times New Roman" w:cs="Times New Roman"/>
                <w:color w:val="000000"/>
              </w:rPr>
              <w:t>Holdings</w:t>
            </w:r>
            <w:r w:rsidRPr="00B178BC">
              <w:rPr>
                <w:rFonts w:ascii="Times New Roman" w:hAnsi="Times New Roman" w:cs="Times New Roman"/>
                <w:color w:val="000000"/>
              </w:rPr>
              <w:t>)</w:t>
            </w:r>
          </w:p>
        </w:tc>
        <w:tc>
          <w:tcPr>
            <w:tcW w:w="1559"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D27A0" w:rsidRPr="00686357" w:rsidRDefault="009D27A0" w:rsidP="00503CD1">
            <w:pPr>
              <w:autoSpaceDE w:val="0"/>
              <w:autoSpaceDN w:val="0"/>
              <w:adjustRightInd w:val="0"/>
              <w:spacing w:after="0" w:line="240" w:lineRule="auto"/>
              <w:rPr>
                <w:rFonts w:ascii="Times New Roman" w:hAnsi="Times New Roman" w:cs="Times New Roman"/>
                <w:color w:val="000000"/>
              </w:rPr>
            </w:pPr>
            <w:r w:rsidRPr="00686357">
              <w:rPr>
                <w:rFonts w:ascii="Times New Roman" w:hAnsi="Times New Roman" w:cs="Times New Roman"/>
                <w:color w:val="000000"/>
                <w:lang w:val="de-DE"/>
              </w:rPr>
              <w:t>Zimbabwe</w:t>
            </w:r>
          </w:p>
        </w:tc>
        <w:tc>
          <w:tcPr>
            <w:tcW w:w="2268" w:type="dxa"/>
            <w:tcBorders>
              <w:top w:val="single" w:sz="8" w:space="0" w:color="FFFFFF"/>
              <w:left w:val="single" w:sz="8" w:space="0" w:color="FFFFFF"/>
              <w:bottom w:val="single" w:sz="8" w:space="0" w:color="FFFFFF"/>
              <w:right w:val="single" w:sz="8" w:space="0" w:color="FFFFFF"/>
            </w:tcBorders>
            <w:shd w:val="clear" w:color="auto" w:fill="E7E8EA"/>
          </w:tcPr>
          <w:p w:rsidR="009D27A0" w:rsidRPr="009D27A0" w:rsidRDefault="009D27A0" w:rsidP="00503CD1">
            <w:pPr>
              <w:autoSpaceDE w:val="0"/>
              <w:autoSpaceDN w:val="0"/>
              <w:adjustRightInd w:val="0"/>
              <w:spacing w:after="0" w:line="240" w:lineRule="auto"/>
              <w:rPr>
                <w:rFonts w:ascii="Times New Roman" w:hAnsi="Times New Roman" w:cs="Times New Roman"/>
                <w:color w:val="000000"/>
              </w:rPr>
            </w:pPr>
            <w:r w:rsidRPr="009D27A0">
              <w:rPr>
                <w:rFonts w:ascii="Times New Roman" w:hAnsi="Times New Roman" w:cs="Times New Roman"/>
                <w:color w:val="000000"/>
              </w:rPr>
              <w:t>Zimbabwe Iron &amp; Steel Company (ZICOSteel)</w:t>
            </w:r>
          </w:p>
        </w:tc>
        <w:tc>
          <w:tcPr>
            <w:tcW w:w="1418" w:type="dxa"/>
            <w:tcBorders>
              <w:top w:val="single" w:sz="8" w:space="0" w:color="FFFFFF"/>
              <w:left w:val="single" w:sz="8" w:space="0" w:color="FFFFFF"/>
              <w:bottom w:val="single" w:sz="8" w:space="0" w:color="FFFFFF"/>
              <w:right w:val="single" w:sz="8" w:space="0" w:color="FFFFFF"/>
            </w:tcBorders>
            <w:shd w:val="clear" w:color="auto" w:fill="E7E8EA"/>
          </w:tcPr>
          <w:p w:rsidR="009D27A0" w:rsidRPr="00686357" w:rsidRDefault="009D27A0" w:rsidP="00503CD1">
            <w:pPr>
              <w:autoSpaceDE w:val="0"/>
              <w:autoSpaceDN w:val="0"/>
              <w:adjustRightInd w:val="0"/>
              <w:spacing w:after="0" w:line="240" w:lineRule="auto"/>
              <w:rPr>
                <w:rFonts w:ascii="Times New Roman" w:hAnsi="Times New Roman" w:cs="Times New Roman"/>
                <w:color w:val="000000"/>
                <w:lang w:val="de-DE"/>
              </w:rPr>
            </w:pPr>
            <w:r>
              <w:rPr>
                <w:rFonts w:ascii="Times New Roman" w:hAnsi="Times New Roman" w:cs="Times New Roman"/>
                <w:color w:val="000000"/>
                <w:lang w:val="de-DE"/>
              </w:rPr>
              <w:t>2012</w:t>
            </w:r>
          </w:p>
        </w:tc>
        <w:tc>
          <w:tcPr>
            <w:tcW w:w="1328"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D27A0" w:rsidRPr="00686357" w:rsidRDefault="009D27A0" w:rsidP="00503CD1">
            <w:pPr>
              <w:autoSpaceDE w:val="0"/>
              <w:autoSpaceDN w:val="0"/>
              <w:adjustRightInd w:val="0"/>
              <w:spacing w:after="0" w:line="240" w:lineRule="auto"/>
              <w:rPr>
                <w:rFonts w:ascii="Times New Roman" w:hAnsi="Times New Roman" w:cs="Times New Roman"/>
                <w:color w:val="000000"/>
              </w:rPr>
            </w:pPr>
            <w:r w:rsidRPr="00686357">
              <w:rPr>
                <w:rFonts w:ascii="Times New Roman" w:hAnsi="Times New Roman" w:cs="Times New Roman"/>
                <w:color w:val="000000"/>
                <w:lang w:val="de-DE"/>
              </w:rPr>
              <w:t>US$ 4</w:t>
            </w:r>
          </w:p>
        </w:tc>
      </w:tr>
    </w:tbl>
    <w:p w:rsidR="00540719" w:rsidRDefault="00540719" w:rsidP="00503CD1">
      <w:pPr>
        <w:autoSpaceDE w:val="0"/>
        <w:autoSpaceDN w:val="0"/>
        <w:adjustRightInd w:val="0"/>
        <w:spacing w:after="0" w:line="480" w:lineRule="auto"/>
        <w:jc w:val="both"/>
        <w:rPr>
          <w:rFonts w:ascii="Times New Roman" w:hAnsi="Times New Roman" w:cs="Times New Roman"/>
          <w:color w:val="000000"/>
        </w:rPr>
      </w:pPr>
    </w:p>
    <w:p w:rsidR="001A41B4" w:rsidRDefault="00960910" w:rsidP="00503CD1">
      <w:pPr>
        <w:autoSpaceDE w:val="0"/>
        <w:autoSpaceDN w:val="0"/>
        <w:adjustRightInd w:val="0"/>
        <w:spacing w:after="0" w:line="480" w:lineRule="auto"/>
        <w:jc w:val="both"/>
        <w:rPr>
          <w:rFonts w:ascii="Times New Roman" w:hAnsi="Times New Roman" w:cs="Times New Roman"/>
          <w:color w:val="000000"/>
        </w:rPr>
      </w:pPr>
      <w:r w:rsidRPr="00686357">
        <w:rPr>
          <w:rFonts w:ascii="Times New Roman" w:hAnsi="Times New Roman" w:cs="Times New Roman"/>
          <w:color w:val="000000"/>
        </w:rPr>
        <w:t xml:space="preserve">Table 2. </w:t>
      </w:r>
      <w:r w:rsidR="001A41B4" w:rsidRPr="00686357">
        <w:rPr>
          <w:rFonts w:ascii="Times New Roman" w:hAnsi="Times New Roman" w:cs="Times New Roman"/>
          <w:color w:val="000000"/>
        </w:rPr>
        <w:t>Major Indian Greenfield Projects (</w:t>
      </w:r>
      <w:r w:rsidR="0094716D">
        <w:rPr>
          <w:rFonts w:ascii="Times New Roman" w:hAnsi="Times New Roman" w:cs="Times New Roman"/>
          <w:color w:val="000000"/>
        </w:rPr>
        <w:t xml:space="preserve">Source: </w:t>
      </w:r>
      <w:r w:rsidR="001A41B4" w:rsidRPr="00686357">
        <w:rPr>
          <w:rFonts w:ascii="Times New Roman" w:hAnsi="Times New Roman" w:cs="Times New Roman"/>
          <w:color w:val="000000"/>
        </w:rPr>
        <w:t>UNCTAD, 2012)</w:t>
      </w:r>
    </w:p>
    <w:p w:rsidR="0060792A" w:rsidRDefault="0060792A" w:rsidP="00503CD1">
      <w:pPr>
        <w:autoSpaceDE w:val="0"/>
        <w:autoSpaceDN w:val="0"/>
        <w:adjustRightInd w:val="0"/>
        <w:spacing w:after="0" w:line="480" w:lineRule="auto"/>
        <w:jc w:val="both"/>
        <w:rPr>
          <w:rFonts w:ascii="Times New Roman" w:hAnsi="Times New Roman" w:cs="Times New Roman"/>
        </w:rPr>
      </w:pPr>
    </w:p>
    <w:p w:rsidR="004C1A75" w:rsidRDefault="004C1A75" w:rsidP="00503CD1">
      <w:pPr>
        <w:autoSpaceDE w:val="0"/>
        <w:autoSpaceDN w:val="0"/>
        <w:adjustRightInd w:val="0"/>
        <w:spacing w:after="0" w:line="480" w:lineRule="auto"/>
        <w:jc w:val="both"/>
        <w:rPr>
          <w:rFonts w:ascii="Times New Roman" w:hAnsi="Times New Roman" w:cs="Times New Roman"/>
        </w:rPr>
      </w:pPr>
      <w:r w:rsidRPr="00686357">
        <w:rPr>
          <w:rFonts w:ascii="Times New Roman" w:hAnsi="Times New Roman" w:cs="Times New Roman"/>
        </w:rPr>
        <w:t xml:space="preserve">OFDI flows </w:t>
      </w:r>
      <w:r w:rsidR="00C646AB">
        <w:rPr>
          <w:rFonts w:ascii="Times New Roman" w:hAnsi="Times New Roman" w:cs="Times New Roman"/>
        </w:rPr>
        <w:t xml:space="preserve">from India </w:t>
      </w:r>
      <w:r w:rsidRPr="00686357">
        <w:rPr>
          <w:rFonts w:ascii="Times New Roman" w:hAnsi="Times New Roman" w:cs="Times New Roman"/>
        </w:rPr>
        <w:t xml:space="preserve">reached US$ 14,752 million in 2011 and OFDI stock accounted for US$ 111,257 million (UNCTAD, 2012). In 2012, however, </w:t>
      </w:r>
      <w:r w:rsidR="001A41B4" w:rsidRPr="00686357">
        <w:rPr>
          <w:rFonts w:ascii="Times New Roman" w:hAnsi="Times New Roman" w:cs="Times New Roman"/>
        </w:rPr>
        <w:t xml:space="preserve">there was a slight dip in the </w:t>
      </w:r>
      <w:r w:rsidR="00354094" w:rsidRPr="00686357">
        <w:rPr>
          <w:rFonts w:ascii="Times New Roman" w:hAnsi="Times New Roman" w:cs="Times New Roman"/>
        </w:rPr>
        <w:t>figures</w:t>
      </w:r>
      <w:r w:rsidR="00FE28C3">
        <w:rPr>
          <w:rFonts w:ascii="Times New Roman" w:hAnsi="Times New Roman" w:cs="Times New Roman"/>
        </w:rPr>
        <w:t xml:space="preserve"> as shown in Table 3 and Table 4 respectively</w:t>
      </w:r>
      <w:r w:rsidR="00354094" w:rsidRPr="00686357">
        <w:rPr>
          <w:rFonts w:ascii="Times New Roman" w:hAnsi="Times New Roman" w:cs="Times New Roman"/>
        </w:rPr>
        <w:t>;</w:t>
      </w:r>
      <w:r w:rsidR="001A41B4" w:rsidRPr="00686357">
        <w:rPr>
          <w:rFonts w:ascii="Times New Roman" w:hAnsi="Times New Roman" w:cs="Times New Roman"/>
        </w:rPr>
        <w:t xml:space="preserve"> however, according to an estimate by Reserve Bank of India, </w:t>
      </w:r>
      <w:r w:rsidRPr="00686357">
        <w:rPr>
          <w:rFonts w:ascii="Times New Roman" w:hAnsi="Times New Roman" w:cs="Times New Roman"/>
        </w:rPr>
        <w:t xml:space="preserve">472 </w:t>
      </w:r>
      <w:r w:rsidR="001A41B4" w:rsidRPr="00686357">
        <w:rPr>
          <w:rFonts w:ascii="Times New Roman" w:hAnsi="Times New Roman" w:cs="Times New Roman"/>
        </w:rPr>
        <w:t xml:space="preserve">major </w:t>
      </w:r>
      <w:r w:rsidRPr="00686357">
        <w:rPr>
          <w:rFonts w:ascii="Times New Roman" w:hAnsi="Times New Roman" w:cs="Times New Roman"/>
        </w:rPr>
        <w:t xml:space="preserve">outward investments </w:t>
      </w:r>
      <w:r w:rsidR="001A41B4" w:rsidRPr="00686357">
        <w:rPr>
          <w:rFonts w:ascii="Times New Roman" w:hAnsi="Times New Roman" w:cs="Times New Roman"/>
        </w:rPr>
        <w:t>were made by the</w:t>
      </w:r>
      <w:r w:rsidRPr="00686357">
        <w:rPr>
          <w:rFonts w:ascii="Times New Roman" w:hAnsi="Times New Roman" w:cs="Times New Roman"/>
        </w:rPr>
        <w:t xml:space="preserve"> Indian firms </w:t>
      </w:r>
      <w:r w:rsidR="00354094" w:rsidRPr="00686357">
        <w:rPr>
          <w:rFonts w:ascii="Times New Roman" w:hAnsi="Times New Roman" w:cs="Times New Roman"/>
        </w:rPr>
        <w:t xml:space="preserve">by the end of December 2012 </w:t>
      </w:r>
      <w:r w:rsidRPr="00686357">
        <w:rPr>
          <w:rFonts w:ascii="Times New Roman" w:hAnsi="Times New Roman" w:cs="Times New Roman"/>
        </w:rPr>
        <w:t xml:space="preserve">(RBI, 2013). </w:t>
      </w:r>
      <w:r w:rsidR="0060792A">
        <w:rPr>
          <w:rFonts w:ascii="Times New Roman" w:hAnsi="Times New Roman" w:cs="Times New Roman"/>
        </w:rPr>
        <w:t xml:space="preserve"> </w:t>
      </w:r>
    </w:p>
    <w:tbl>
      <w:tblPr>
        <w:tblW w:w="9526" w:type="dxa"/>
        <w:tblCellMar>
          <w:left w:w="0" w:type="dxa"/>
          <w:right w:w="0" w:type="dxa"/>
        </w:tblCellMar>
        <w:tblLook w:val="04A0" w:firstRow="1" w:lastRow="0" w:firstColumn="1" w:lastColumn="0" w:noHBand="0" w:noVBand="1"/>
      </w:tblPr>
      <w:tblGrid>
        <w:gridCol w:w="746"/>
        <w:gridCol w:w="1009"/>
        <w:gridCol w:w="878"/>
        <w:gridCol w:w="747"/>
        <w:gridCol w:w="878"/>
        <w:gridCol w:w="878"/>
        <w:gridCol w:w="878"/>
        <w:gridCol w:w="878"/>
        <w:gridCol w:w="878"/>
        <w:gridCol w:w="878"/>
        <w:gridCol w:w="878"/>
      </w:tblGrid>
      <w:tr w:rsidR="001A41B4" w:rsidRPr="00686357" w:rsidTr="001A41B4">
        <w:trPr>
          <w:trHeight w:val="825"/>
        </w:trPr>
        <w:tc>
          <w:tcPr>
            <w:tcW w:w="746"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b/>
                <w:bCs/>
                <w:color w:val="000000" w:themeColor="text1"/>
                <w:lang w:val="en-GB"/>
              </w:rPr>
              <w:t> </w:t>
            </w:r>
          </w:p>
        </w:tc>
        <w:tc>
          <w:tcPr>
            <w:tcW w:w="1009"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b/>
                <w:bCs/>
                <w:color w:val="000000" w:themeColor="text1"/>
                <w:lang w:val="en-GB"/>
              </w:rPr>
              <w:t> </w:t>
            </w:r>
          </w:p>
        </w:tc>
        <w:tc>
          <w:tcPr>
            <w:tcW w:w="878"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lang w:val="en-GB"/>
              </w:rPr>
              <w:t>2004</w:t>
            </w:r>
          </w:p>
        </w:tc>
        <w:tc>
          <w:tcPr>
            <w:tcW w:w="747"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lang w:val="en-GB"/>
              </w:rPr>
              <w:t>2005</w:t>
            </w:r>
          </w:p>
        </w:tc>
        <w:tc>
          <w:tcPr>
            <w:tcW w:w="878"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lang w:val="en-GB"/>
              </w:rPr>
              <w:t>2006</w:t>
            </w:r>
          </w:p>
        </w:tc>
        <w:tc>
          <w:tcPr>
            <w:tcW w:w="878"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lang w:val="en-GB"/>
              </w:rPr>
              <w:t>2007</w:t>
            </w:r>
          </w:p>
        </w:tc>
        <w:tc>
          <w:tcPr>
            <w:tcW w:w="878"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lang w:val="en-GB"/>
              </w:rPr>
              <w:t>2008</w:t>
            </w:r>
          </w:p>
        </w:tc>
        <w:tc>
          <w:tcPr>
            <w:tcW w:w="878"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lang w:val="en-GB"/>
              </w:rPr>
              <w:t>2009</w:t>
            </w:r>
          </w:p>
        </w:tc>
        <w:tc>
          <w:tcPr>
            <w:tcW w:w="878"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lang w:val="en-GB"/>
              </w:rPr>
              <w:t>2010</w:t>
            </w:r>
          </w:p>
        </w:tc>
        <w:tc>
          <w:tcPr>
            <w:tcW w:w="878"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lang w:val="en-GB"/>
              </w:rPr>
              <w:t>2011</w:t>
            </w:r>
          </w:p>
        </w:tc>
        <w:tc>
          <w:tcPr>
            <w:tcW w:w="878"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rPr>
              <w:t>2012</w:t>
            </w:r>
          </w:p>
        </w:tc>
      </w:tr>
      <w:tr w:rsidR="001A41B4" w:rsidRPr="00686357" w:rsidTr="001A41B4">
        <w:trPr>
          <w:trHeight w:val="881"/>
        </w:trPr>
        <w:tc>
          <w:tcPr>
            <w:tcW w:w="746" w:type="dxa"/>
            <w:tcBorders>
              <w:top w:val="single" w:sz="24" w:space="0" w:color="FFFFFF"/>
              <w:left w:val="single" w:sz="8" w:space="0" w:color="FFFFFF"/>
              <w:bottom w:val="single" w:sz="8"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b/>
                <w:bCs/>
                <w:color w:val="FFFFFF" w:themeColor="background1"/>
                <w:lang w:val="en-GB"/>
              </w:rPr>
              <w:t>India</w:t>
            </w:r>
          </w:p>
        </w:tc>
        <w:tc>
          <w:tcPr>
            <w:tcW w:w="1009"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Outflow</w:t>
            </w:r>
          </w:p>
        </w:tc>
        <w:tc>
          <w:tcPr>
            <w:tcW w:w="878"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2,179</w:t>
            </w:r>
          </w:p>
        </w:tc>
        <w:tc>
          <w:tcPr>
            <w:tcW w:w="747"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2,978</w:t>
            </w:r>
          </w:p>
        </w:tc>
        <w:tc>
          <w:tcPr>
            <w:tcW w:w="878"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14,344</w:t>
            </w:r>
          </w:p>
        </w:tc>
        <w:tc>
          <w:tcPr>
            <w:tcW w:w="878"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17,281</w:t>
            </w:r>
          </w:p>
        </w:tc>
        <w:tc>
          <w:tcPr>
            <w:tcW w:w="878"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17,685</w:t>
            </w:r>
          </w:p>
        </w:tc>
        <w:tc>
          <w:tcPr>
            <w:tcW w:w="878"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15,927</w:t>
            </w:r>
          </w:p>
        </w:tc>
        <w:tc>
          <w:tcPr>
            <w:tcW w:w="878"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13,151</w:t>
            </w:r>
          </w:p>
        </w:tc>
        <w:tc>
          <w:tcPr>
            <w:tcW w:w="878"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14,752</w:t>
            </w:r>
          </w:p>
        </w:tc>
        <w:tc>
          <w:tcPr>
            <w:tcW w:w="878"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rPr>
              <w:t>8,583</w:t>
            </w:r>
          </w:p>
        </w:tc>
      </w:tr>
      <w:tr w:rsidR="001A41B4" w:rsidRPr="00686357" w:rsidTr="001A41B4">
        <w:trPr>
          <w:trHeight w:val="825"/>
        </w:trPr>
        <w:tc>
          <w:tcPr>
            <w:tcW w:w="746" w:type="dxa"/>
            <w:tcBorders>
              <w:top w:val="single" w:sz="8" w:space="0" w:color="FFFFFF"/>
              <w:left w:val="single" w:sz="8" w:space="0" w:color="FFFFFF"/>
              <w:bottom w:val="single" w:sz="8"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b/>
                <w:bCs/>
                <w:color w:val="000000" w:themeColor="text1"/>
                <w:lang w:val="en-GB"/>
              </w:rPr>
              <w:t> </w:t>
            </w:r>
          </w:p>
        </w:tc>
        <w:tc>
          <w:tcPr>
            <w:tcW w:w="1009" w:type="dxa"/>
            <w:tcBorders>
              <w:top w:val="single" w:sz="8" w:space="0" w:color="FFFFFF"/>
              <w:left w:val="single" w:sz="8" w:space="0" w:color="FFFFFF"/>
              <w:bottom w:val="single" w:sz="8" w:space="0" w:color="FFFFFF"/>
              <w:right w:val="single" w:sz="8" w:space="0" w:color="FFFFFF"/>
            </w:tcBorders>
            <w:shd w:val="clear" w:color="auto" w:fill="E7E8EA"/>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Inflow</w:t>
            </w:r>
          </w:p>
        </w:tc>
        <w:tc>
          <w:tcPr>
            <w:tcW w:w="878" w:type="dxa"/>
            <w:tcBorders>
              <w:top w:val="single" w:sz="8" w:space="0" w:color="FFFFFF"/>
              <w:left w:val="single" w:sz="8" w:space="0" w:color="FFFFFF"/>
              <w:bottom w:val="single" w:sz="8" w:space="0" w:color="FFFFFF"/>
              <w:right w:val="single" w:sz="8" w:space="0" w:color="FFFFFF"/>
            </w:tcBorders>
            <w:shd w:val="clear" w:color="auto" w:fill="E7E8EA"/>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5,771</w:t>
            </w:r>
          </w:p>
        </w:tc>
        <w:tc>
          <w:tcPr>
            <w:tcW w:w="747" w:type="dxa"/>
            <w:tcBorders>
              <w:top w:val="single" w:sz="8" w:space="0" w:color="FFFFFF"/>
              <w:left w:val="single" w:sz="8" w:space="0" w:color="FFFFFF"/>
              <w:bottom w:val="single" w:sz="8" w:space="0" w:color="FFFFFF"/>
              <w:right w:val="single" w:sz="8" w:space="0" w:color="FFFFFF"/>
            </w:tcBorders>
            <w:shd w:val="clear" w:color="auto" w:fill="E7E8EA"/>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7,606</w:t>
            </w:r>
          </w:p>
        </w:tc>
        <w:tc>
          <w:tcPr>
            <w:tcW w:w="878" w:type="dxa"/>
            <w:tcBorders>
              <w:top w:val="single" w:sz="8" w:space="0" w:color="FFFFFF"/>
              <w:left w:val="single" w:sz="8" w:space="0" w:color="FFFFFF"/>
              <w:bottom w:val="single" w:sz="8" w:space="0" w:color="FFFFFF"/>
              <w:right w:val="single" w:sz="8" w:space="0" w:color="FFFFFF"/>
            </w:tcBorders>
            <w:shd w:val="clear" w:color="auto" w:fill="E7E8EA"/>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20,336</w:t>
            </w:r>
          </w:p>
        </w:tc>
        <w:tc>
          <w:tcPr>
            <w:tcW w:w="878" w:type="dxa"/>
            <w:tcBorders>
              <w:top w:val="single" w:sz="8" w:space="0" w:color="FFFFFF"/>
              <w:left w:val="single" w:sz="8" w:space="0" w:color="FFFFFF"/>
              <w:bottom w:val="single" w:sz="8" w:space="0" w:color="FFFFFF"/>
              <w:right w:val="single" w:sz="8" w:space="0" w:color="FFFFFF"/>
            </w:tcBorders>
            <w:shd w:val="clear" w:color="auto" w:fill="E7E8EA"/>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25,127</w:t>
            </w:r>
          </w:p>
        </w:tc>
        <w:tc>
          <w:tcPr>
            <w:tcW w:w="878" w:type="dxa"/>
            <w:tcBorders>
              <w:top w:val="single" w:sz="8" w:space="0" w:color="FFFFFF"/>
              <w:left w:val="single" w:sz="8" w:space="0" w:color="FFFFFF"/>
              <w:bottom w:val="single" w:sz="8" w:space="0" w:color="FFFFFF"/>
              <w:right w:val="single" w:sz="8" w:space="0" w:color="FFFFFF"/>
            </w:tcBorders>
            <w:shd w:val="clear" w:color="auto" w:fill="E7E8EA"/>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41,554</w:t>
            </w:r>
          </w:p>
        </w:tc>
        <w:tc>
          <w:tcPr>
            <w:tcW w:w="878" w:type="dxa"/>
            <w:tcBorders>
              <w:top w:val="single" w:sz="8" w:space="0" w:color="FFFFFF"/>
              <w:left w:val="single" w:sz="8" w:space="0" w:color="FFFFFF"/>
              <w:bottom w:val="single" w:sz="8" w:space="0" w:color="FFFFFF"/>
              <w:right w:val="single" w:sz="8" w:space="0" w:color="FFFFFF"/>
            </w:tcBorders>
            <w:shd w:val="clear" w:color="auto" w:fill="E7E8EA"/>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35,596</w:t>
            </w:r>
          </w:p>
        </w:tc>
        <w:tc>
          <w:tcPr>
            <w:tcW w:w="878" w:type="dxa"/>
            <w:tcBorders>
              <w:top w:val="single" w:sz="8" w:space="0" w:color="FFFFFF"/>
              <w:left w:val="single" w:sz="8" w:space="0" w:color="FFFFFF"/>
              <w:bottom w:val="single" w:sz="8" w:space="0" w:color="FFFFFF"/>
              <w:right w:val="single" w:sz="8" w:space="0" w:color="FFFFFF"/>
            </w:tcBorders>
            <w:shd w:val="clear" w:color="auto" w:fill="E7E8EA"/>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24,159</w:t>
            </w:r>
          </w:p>
        </w:tc>
        <w:tc>
          <w:tcPr>
            <w:tcW w:w="878" w:type="dxa"/>
            <w:tcBorders>
              <w:top w:val="single" w:sz="8" w:space="0" w:color="FFFFFF"/>
              <w:left w:val="single" w:sz="8" w:space="0" w:color="FFFFFF"/>
              <w:bottom w:val="single" w:sz="8" w:space="0" w:color="FFFFFF"/>
              <w:right w:val="single" w:sz="8" w:space="0" w:color="FFFFFF"/>
            </w:tcBorders>
            <w:shd w:val="clear" w:color="auto" w:fill="E7E8EA"/>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31,554</w:t>
            </w:r>
          </w:p>
        </w:tc>
        <w:tc>
          <w:tcPr>
            <w:tcW w:w="878" w:type="dxa"/>
            <w:tcBorders>
              <w:top w:val="single" w:sz="8" w:space="0" w:color="FFFFFF"/>
              <w:left w:val="single" w:sz="8" w:space="0" w:color="FFFFFF"/>
              <w:bottom w:val="single" w:sz="8" w:space="0" w:color="FFFFFF"/>
              <w:right w:val="single" w:sz="8" w:space="0" w:color="FFFFFF"/>
            </w:tcBorders>
            <w:shd w:val="clear" w:color="auto" w:fill="E7E8EA"/>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rPr>
              <w:t>25,543</w:t>
            </w:r>
          </w:p>
        </w:tc>
      </w:tr>
      <w:tr w:rsidR="001A41B4" w:rsidRPr="00686357" w:rsidTr="001A41B4">
        <w:trPr>
          <w:trHeight w:val="825"/>
        </w:trPr>
        <w:tc>
          <w:tcPr>
            <w:tcW w:w="746" w:type="dxa"/>
            <w:tcBorders>
              <w:top w:val="single" w:sz="8" w:space="0" w:color="FFFFFF"/>
              <w:left w:val="single" w:sz="8" w:space="0" w:color="FFFFFF"/>
              <w:bottom w:val="single" w:sz="8"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b/>
                <w:bCs/>
                <w:color w:val="000000" w:themeColor="text1"/>
                <w:lang w:val="en-GB"/>
              </w:rPr>
              <w:t> </w:t>
            </w:r>
          </w:p>
        </w:tc>
        <w:tc>
          <w:tcPr>
            <w:tcW w:w="1009" w:type="dxa"/>
            <w:tcBorders>
              <w:top w:val="single" w:sz="8"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Ratio</w:t>
            </w:r>
          </w:p>
        </w:tc>
        <w:tc>
          <w:tcPr>
            <w:tcW w:w="878" w:type="dxa"/>
            <w:tcBorders>
              <w:top w:val="single" w:sz="8"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0.38</w:t>
            </w:r>
          </w:p>
        </w:tc>
        <w:tc>
          <w:tcPr>
            <w:tcW w:w="747" w:type="dxa"/>
            <w:tcBorders>
              <w:top w:val="single" w:sz="8"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0.39</w:t>
            </w:r>
          </w:p>
        </w:tc>
        <w:tc>
          <w:tcPr>
            <w:tcW w:w="878" w:type="dxa"/>
            <w:tcBorders>
              <w:top w:val="single" w:sz="8"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0.71</w:t>
            </w:r>
          </w:p>
        </w:tc>
        <w:tc>
          <w:tcPr>
            <w:tcW w:w="878" w:type="dxa"/>
            <w:tcBorders>
              <w:top w:val="single" w:sz="8"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0.69</w:t>
            </w:r>
          </w:p>
        </w:tc>
        <w:tc>
          <w:tcPr>
            <w:tcW w:w="878" w:type="dxa"/>
            <w:tcBorders>
              <w:top w:val="single" w:sz="8"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0.43</w:t>
            </w:r>
          </w:p>
        </w:tc>
        <w:tc>
          <w:tcPr>
            <w:tcW w:w="878" w:type="dxa"/>
            <w:tcBorders>
              <w:top w:val="single" w:sz="8"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0.45</w:t>
            </w:r>
          </w:p>
        </w:tc>
        <w:tc>
          <w:tcPr>
            <w:tcW w:w="878" w:type="dxa"/>
            <w:tcBorders>
              <w:top w:val="single" w:sz="8"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0.54</w:t>
            </w:r>
          </w:p>
        </w:tc>
        <w:tc>
          <w:tcPr>
            <w:tcW w:w="878" w:type="dxa"/>
            <w:tcBorders>
              <w:top w:val="single" w:sz="8"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lang w:val="en-GB"/>
              </w:rPr>
              <w:t>0.47</w:t>
            </w:r>
          </w:p>
        </w:tc>
        <w:tc>
          <w:tcPr>
            <w:tcW w:w="878" w:type="dxa"/>
            <w:tcBorders>
              <w:top w:val="single" w:sz="8"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rPr>
              <w:t>0.33</w:t>
            </w:r>
          </w:p>
        </w:tc>
      </w:tr>
    </w:tbl>
    <w:p w:rsidR="001A41B4" w:rsidRPr="00686357" w:rsidRDefault="001A41B4" w:rsidP="00503CD1">
      <w:pPr>
        <w:autoSpaceDE w:val="0"/>
        <w:autoSpaceDN w:val="0"/>
        <w:adjustRightInd w:val="0"/>
        <w:spacing w:after="0" w:line="480" w:lineRule="auto"/>
        <w:jc w:val="both"/>
        <w:rPr>
          <w:rFonts w:ascii="Times New Roman" w:hAnsi="Times New Roman" w:cs="Times New Roman"/>
          <w:color w:val="000000" w:themeColor="text1"/>
        </w:rPr>
      </w:pPr>
    </w:p>
    <w:p w:rsidR="001A41B4" w:rsidRDefault="00960910" w:rsidP="00503CD1">
      <w:pPr>
        <w:autoSpaceDE w:val="0"/>
        <w:autoSpaceDN w:val="0"/>
        <w:adjustRightInd w:val="0"/>
        <w:spacing w:after="0" w:line="48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rPr>
        <w:lastRenderedPageBreak/>
        <w:t xml:space="preserve">Table 3. </w:t>
      </w:r>
      <w:r w:rsidR="001A41B4" w:rsidRPr="00686357">
        <w:rPr>
          <w:rFonts w:ascii="Times New Roman" w:hAnsi="Times New Roman" w:cs="Times New Roman"/>
          <w:color w:val="000000" w:themeColor="text1"/>
        </w:rPr>
        <w:t>FDI Outflows, Inflows and Ratio (in US$ million) (</w:t>
      </w:r>
      <w:r w:rsidR="0094716D">
        <w:rPr>
          <w:rFonts w:ascii="Times New Roman" w:hAnsi="Times New Roman" w:cs="Times New Roman"/>
          <w:color w:val="000000" w:themeColor="text1"/>
        </w:rPr>
        <w:t xml:space="preserve">Source: </w:t>
      </w:r>
      <w:r w:rsidR="001A41B4" w:rsidRPr="00686357">
        <w:rPr>
          <w:rFonts w:ascii="Times New Roman" w:hAnsi="Times New Roman" w:cs="Times New Roman"/>
          <w:color w:val="000000" w:themeColor="text1"/>
        </w:rPr>
        <w:t>UNCTAD, 2013)</w:t>
      </w:r>
    </w:p>
    <w:tbl>
      <w:tblPr>
        <w:tblW w:w="9494" w:type="dxa"/>
        <w:tblCellMar>
          <w:left w:w="0" w:type="dxa"/>
          <w:right w:w="0" w:type="dxa"/>
        </w:tblCellMar>
        <w:tblLook w:val="04A0" w:firstRow="1" w:lastRow="0" w:firstColumn="1" w:lastColumn="0" w:noHBand="0" w:noVBand="1"/>
      </w:tblPr>
      <w:tblGrid>
        <w:gridCol w:w="734"/>
        <w:gridCol w:w="1771"/>
        <w:gridCol w:w="1274"/>
        <w:gridCol w:w="1275"/>
        <w:gridCol w:w="1392"/>
        <w:gridCol w:w="1524"/>
        <w:gridCol w:w="1524"/>
      </w:tblGrid>
      <w:tr w:rsidR="001A41B4" w:rsidRPr="00686357" w:rsidTr="001A41B4">
        <w:trPr>
          <w:trHeight w:val="829"/>
        </w:trPr>
        <w:tc>
          <w:tcPr>
            <w:tcW w:w="734"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480" w:lineRule="auto"/>
              <w:jc w:val="both"/>
              <w:rPr>
                <w:rFonts w:ascii="Times New Roman" w:hAnsi="Times New Roman" w:cs="Times New Roman"/>
                <w:color w:val="000000" w:themeColor="text1"/>
              </w:rPr>
            </w:pPr>
            <w:r w:rsidRPr="00686357">
              <w:rPr>
                <w:rFonts w:ascii="Times New Roman" w:hAnsi="Times New Roman" w:cs="Times New Roman"/>
                <w:b/>
                <w:bCs/>
                <w:color w:val="000000" w:themeColor="text1"/>
              </w:rPr>
              <w:t> </w:t>
            </w:r>
          </w:p>
        </w:tc>
        <w:tc>
          <w:tcPr>
            <w:tcW w:w="1771"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rPr>
              <w:t>1980</w:t>
            </w:r>
          </w:p>
        </w:tc>
        <w:tc>
          <w:tcPr>
            <w:tcW w:w="1274"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rPr>
              <w:t>1990</w:t>
            </w:r>
          </w:p>
        </w:tc>
        <w:tc>
          <w:tcPr>
            <w:tcW w:w="1275"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rPr>
              <w:t>2000</w:t>
            </w:r>
          </w:p>
        </w:tc>
        <w:tc>
          <w:tcPr>
            <w:tcW w:w="1392"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rPr>
              <w:t>2010</w:t>
            </w:r>
          </w:p>
        </w:tc>
        <w:tc>
          <w:tcPr>
            <w:tcW w:w="1524"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rPr>
              <w:t>2011</w:t>
            </w:r>
          </w:p>
        </w:tc>
        <w:tc>
          <w:tcPr>
            <w:tcW w:w="1524" w:type="dxa"/>
            <w:tcBorders>
              <w:top w:val="single" w:sz="8" w:space="0" w:color="FFFFFF"/>
              <w:left w:val="single" w:sz="8" w:space="0" w:color="FFFFFF"/>
              <w:bottom w:val="single" w:sz="24"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FFFFFF" w:themeColor="background1"/>
              </w:rPr>
            </w:pPr>
            <w:r w:rsidRPr="00686357">
              <w:rPr>
                <w:rFonts w:ascii="Times New Roman" w:hAnsi="Times New Roman" w:cs="Times New Roman"/>
                <w:b/>
                <w:bCs/>
                <w:color w:val="FFFFFF" w:themeColor="background1"/>
              </w:rPr>
              <w:t>2012</w:t>
            </w:r>
          </w:p>
        </w:tc>
      </w:tr>
      <w:tr w:rsidR="001A41B4" w:rsidRPr="00686357" w:rsidTr="001A41B4">
        <w:trPr>
          <w:trHeight w:val="829"/>
        </w:trPr>
        <w:tc>
          <w:tcPr>
            <w:tcW w:w="734" w:type="dxa"/>
            <w:tcBorders>
              <w:top w:val="single" w:sz="24" w:space="0" w:color="FFFFFF"/>
              <w:left w:val="single" w:sz="8" w:space="0" w:color="FFFFFF"/>
              <w:bottom w:val="single" w:sz="8" w:space="0" w:color="FFFFFF"/>
              <w:right w:val="single" w:sz="8" w:space="0" w:color="FFFFFF"/>
            </w:tcBorders>
            <w:shd w:val="clear" w:color="auto" w:fill="003366"/>
            <w:tcMar>
              <w:top w:w="15" w:type="dxa"/>
              <w:left w:w="108" w:type="dxa"/>
              <w:bottom w:w="0" w:type="dxa"/>
              <w:right w:w="108" w:type="dxa"/>
            </w:tcMar>
            <w:hideMark/>
          </w:tcPr>
          <w:p w:rsidR="00D44D23" w:rsidRPr="00686357" w:rsidRDefault="001A41B4" w:rsidP="00503CD1">
            <w:pPr>
              <w:autoSpaceDE w:val="0"/>
              <w:autoSpaceDN w:val="0"/>
              <w:adjustRightInd w:val="0"/>
              <w:spacing w:after="0" w:line="480" w:lineRule="auto"/>
              <w:jc w:val="both"/>
              <w:rPr>
                <w:rFonts w:ascii="Times New Roman" w:hAnsi="Times New Roman" w:cs="Times New Roman"/>
                <w:color w:val="000000" w:themeColor="text1"/>
              </w:rPr>
            </w:pPr>
            <w:r w:rsidRPr="00686357">
              <w:rPr>
                <w:rFonts w:ascii="Times New Roman" w:hAnsi="Times New Roman" w:cs="Times New Roman"/>
                <w:b/>
                <w:bCs/>
                <w:color w:val="FFFFFF" w:themeColor="background1"/>
              </w:rPr>
              <w:t>India</w:t>
            </w:r>
          </w:p>
        </w:tc>
        <w:tc>
          <w:tcPr>
            <w:tcW w:w="1771"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rPr>
              <w:t>78</w:t>
            </w:r>
          </w:p>
        </w:tc>
        <w:tc>
          <w:tcPr>
            <w:tcW w:w="1274"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rPr>
              <w:t>124</w:t>
            </w:r>
          </w:p>
        </w:tc>
        <w:tc>
          <w:tcPr>
            <w:tcW w:w="1275"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828DD">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rPr>
              <w:t>1,859</w:t>
            </w:r>
          </w:p>
        </w:tc>
        <w:tc>
          <w:tcPr>
            <w:tcW w:w="1392"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rPr>
              <w:t>96,421</w:t>
            </w:r>
          </w:p>
        </w:tc>
        <w:tc>
          <w:tcPr>
            <w:tcW w:w="1524"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rPr>
              <w:t>111,257</w:t>
            </w:r>
          </w:p>
        </w:tc>
        <w:tc>
          <w:tcPr>
            <w:tcW w:w="1524" w:type="dxa"/>
            <w:tcBorders>
              <w:top w:val="single" w:sz="24" w:space="0" w:color="FFFFFF"/>
              <w:left w:val="single" w:sz="8" w:space="0" w:color="FFFFFF"/>
              <w:bottom w:val="single" w:sz="8" w:space="0" w:color="FFFFFF"/>
              <w:right w:val="single" w:sz="8" w:space="0" w:color="FFFFFF"/>
            </w:tcBorders>
            <w:shd w:val="clear" w:color="auto" w:fill="CBCDD3"/>
            <w:tcMar>
              <w:top w:w="15" w:type="dxa"/>
              <w:left w:w="108" w:type="dxa"/>
              <w:bottom w:w="0" w:type="dxa"/>
              <w:right w:w="108" w:type="dxa"/>
            </w:tcMar>
            <w:hideMark/>
          </w:tcPr>
          <w:p w:rsidR="00D44D23" w:rsidRPr="00686357" w:rsidRDefault="001A41B4" w:rsidP="00503CD1">
            <w:pPr>
              <w:autoSpaceDE w:val="0"/>
              <w:autoSpaceDN w:val="0"/>
              <w:adjustRightInd w:val="0"/>
              <w:spacing w:after="0" w:line="24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rPr>
              <w:t>118,167</w:t>
            </w:r>
          </w:p>
        </w:tc>
      </w:tr>
    </w:tbl>
    <w:p w:rsidR="001A41B4" w:rsidRPr="00686357" w:rsidRDefault="001A41B4" w:rsidP="00503CD1">
      <w:pPr>
        <w:autoSpaceDE w:val="0"/>
        <w:autoSpaceDN w:val="0"/>
        <w:adjustRightInd w:val="0"/>
        <w:spacing w:after="0" w:line="480" w:lineRule="auto"/>
        <w:jc w:val="both"/>
        <w:rPr>
          <w:rFonts w:ascii="Times New Roman" w:hAnsi="Times New Roman" w:cs="Times New Roman"/>
          <w:color w:val="000000" w:themeColor="text1"/>
        </w:rPr>
      </w:pPr>
    </w:p>
    <w:p w:rsidR="001A41B4" w:rsidRDefault="00960910" w:rsidP="00503CD1">
      <w:pPr>
        <w:autoSpaceDE w:val="0"/>
        <w:autoSpaceDN w:val="0"/>
        <w:adjustRightInd w:val="0"/>
        <w:spacing w:after="0" w:line="48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rPr>
        <w:t xml:space="preserve">Table 4. </w:t>
      </w:r>
      <w:r w:rsidR="001A41B4" w:rsidRPr="00686357">
        <w:rPr>
          <w:rFonts w:ascii="Times New Roman" w:hAnsi="Times New Roman" w:cs="Times New Roman"/>
          <w:color w:val="000000" w:themeColor="text1"/>
        </w:rPr>
        <w:t>OFDI Stock (in US$ million) (</w:t>
      </w:r>
      <w:r w:rsidR="0094716D">
        <w:rPr>
          <w:rFonts w:ascii="Times New Roman" w:hAnsi="Times New Roman" w:cs="Times New Roman"/>
          <w:color w:val="000000" w:themeColor="text1"/>
        </w:rPr>
        <w:t xml:space="preserve">Source: </w:t>
      </w:r>
      <w:r w:rsidR="001A41B4" w:rsidRPr="00686357">
        <w:rPr>
          <w:rFonts w:ascii="Times New Roman" w:hAnsi="Times New Roman" w:cs="Times New Roman"/>
          <w:color w:val="000000" w:themeColor="text1"/>
        </w:rPr>
        <w:t>UNCTAD, 2013)</w:t>
      </w:r>
    </w:p>
    <w:p w:rsidR="00F11A19" w:rsidRDefault="00F11A19" w:rsidP="00503CD1">
      <w:pPr>
        <w:autoSpaceDE w:val="0"/>
        <w:autoSpaceDN w:val="0"/>
        <w:adjustRightInd w:val="0"/>
        <w:spacing w:after="0" w:line="480" w:lineRule="auto"/>
        <w:jc w:val="both"/>
        <w:rPr>
          <w:rFonts w:ascii="Times New Roman" w:hAnsi="Times New Roman" w:cs="Times New Roman"/>
          <w:color w:val="000000" w:themeColor="text1"/>
        </w:rPr>
      </w:pPr>
    </w:p>
    <w:p w:rsidR="00782D77" w:rsidRDefault="00354094" w:rsidP="00503CD1">
      <w:pPr>
        <w:autoSpaceDE w:val="0"/>
        <w:autoSpaceDN w:val="0"/>
        <w:adjustRightInd w:val="0"/>
        <w:spacing w:after="0" w:line="48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rPr>
        <w:t xml:space="preserve">In 2013 the overseas investments by the Indian firms again picked up, and </w:t>
      </w:r>
      <w:r w:rsidR="00126872" w:rsidRPr="00686357">
        <w:rPr>
          <w:rFonts w:ascii="Times New Roman" w:hAnsi="Times New Roman" w:cs="Times New Roman"/>
          <w:color w:val="000000" w:themeColor="text1"/>
        </w:rPr>
        <w:t>overseas direct investments by Indian companies stood at US$ 3.24 billion in July 2013, registering an increase in 89.5 per cent from June 2013 (RBI, 2013)</w:t>
      </w:r>
      <w:r w:rsidR="00A31A10" w:rsidRPr="00686357">
        <w:rPr>
          <w:rFonts w:ascii="Times New Roman" w:hAnsi="Times New Roman" w:cs="Times New Roman"/>
          <w:color w:val="000000" w:themeColor="text1"/>
        </w:rPr>
        <w:t xml:space="preserve">, and by the end of </w:t>
      </w:r>
      <w:r w:rsidR="007B728F" w:rsidRPr="00686357">
        <w:rPr>
          <w:rFonts w:ascii="Times New Roman" w:hAnsi="Times New Roman" w:cs="Times New Roman"/>
          <w:color w:val="000000" w:themeColor="text1"/>
        </w:rPr>
        <w:t xml:space="preserve">2013, the </w:t>
      </w:r>
      <w:r w:rsidR="00A31A10" w:rsidRPr="00686357">
        <w:rPr>
          <w:rFonts w:ascii="Times New Roman" w:hAnsi="Times New Roman" w:cs="Times New Roman"/>
          <w:color w:val="000000" w:themeColor="text1"/>
        </w:rPr>
        <w:t xml:space="preserve">overall OFDI flow from India </w:t>
      </w:r>
      <w:r w:rsidR="007B728F" w:rsidRPr="00686357">
        <w:rPr>
          <w:rFonts w:ascii="Times New Roman" w:hAnsi="Times New Roman" w:cs="Times New Roman"/>
          <w:color w:val="000000" w:themeColor="text1"/>
        </w:rPr>
        <w:t xml:space="preserve">for 2012-2013 </w:t>
      </w:r>
      <w:r w:rsidR="00A31A10" w:rsidRPr="00686357">
        <w:rPr>
          <w:rFonts w:ascii="Times New Roman" w:hAnsi="Times New Roman" w:cs="Times New Roman"/>
          <w:color w:val="000000" w:themeColor="text1"/>
        </w:rPr>
        <w:t>stood at US$ 7.1 billion (RBI, 2014)</w:t>
      </w:r>
      <w:r w:rsidR="00126872" w:rsidRPr="00686357">
        <w:rPr>
          <w:rFonts w:ascii="Times New Roman" w:hAnsi="Times New Roman" w:cs="Times New Roman"/>
          <w:color w:val="000000" w:themeColor="text1"/>
        </w:rPr>
        <w:t xml:space="preserve">. </w:t>
      </w:r>
      <w:r w:rsidR="00D508FD">
        <w:rPr>
          <w:rFonts w:ascii="Times New Roman" w:hAnsi="Times New Roman" w:cs="Times New Roman"/>
          <w:color w:val="000000" w:themeColor="text1"/>
        </w:rPr>
        <w:t xml:space="preserve">Figure 1 shows the fluctuations in Indian OFDI over the years until the end of 2013. </w:t>
      </w:r>
      <w:r w:rsidR="00126872" w:rsidRPr="00686357">
        <w:rPr>
          <w:rFonts w:ascii="Times New Roman" w:hAnsi="Times New Roman" w:cs="Times New Roman"/>
          <w:color w:val="000000" w:themeColor="text1"/>
        </w:rPr>
        <w:t>The investments were made across 461 deals; Reliance Communications, Apollo Tyres, Zee Entertainment Enterprises</w:t>
      </w:r>
      <w:r w:rsidR="00E50C5C" w:rsidRPr="00686357">
        <w:rPr>
          <w:rFonts w:ascii="Times New Roman" w:hAnsi="Times New Roman" w:cs="Times New Roman"/>
          <w:color w:val="000000" w:themeColor="text1"/>
        </w:rPr>
        <w:t>, Kirloskar Brothers Ltd, Aditya Birla Group, T</w:t>
      </w:r>
      <w:r w:rsidR="00126872" w:rsidRPr="00686357">
        <w:rPr>
          <w:rFonts w:ascii="Times New Roman" w:hAnsi="Times New Roman" w:cs="Times New Roman"/>
          <w:color w:val="000000" w:themeColor="text1"/>
        </w:rPr>
        <w:t>ata Communications</w:t>
      </w:r>
      <w:r w:rsidR="003E2CE9" w:rsidRPr="00686357">
        <w:rPr>
          <w:rFonts w:ascii="Times New Roman" w:hAnsi="Times New Roman" w:cs="Times New Roman"/>
          <w:color w:val="000000" w:themeColor="text1"/>
        </w:rPr>
        <w:t xml:space="preserve"> and VLCC, an Indian wellness and slimming firm</w:t>
      </w:r>
      <w:r w:rsidR="00126872" w:rsidRPr="00686357">
        <w:rPr>
          <w:rFonts w:ascii="Times New Roman" w:hAnsi="Times New Roman" w:cs="Times New Roman"/>
          <w:color w:val="000000" w:themeColor="text1"/>
        </w:rPr>
        <w:t>, being the major players behind the push. Overall, India’s M&amp;A activity value touched US$ 1.5 billion in July 2013, increasing the year-to-date M&amp;A value by 36 per cent from 2012 (Grant Thornton, 2013).</w:t>
      </w:r>
    </w:p>
    <w:p w:rsidR="0003242F" w:rsidRPr="00686357" w:rsidRDefault="003B3FD3" w:rsidP="00503CD1">
      <w:pPr>
        <w:autoSpaceDE w:val="0"/>
        <w:autoSpaceDN w:val="0"/>
        <w:adjustRightInd w:val="0"/>
        <w:spacing w:after="0" w:line="480" w:lineRule="auto"/>
        <w:jc w:val="both"/>
        <w:rPr>
          <w:rFonts w:ascii="Times New Roman" w:hAnsi="Times New Roman" w:cs="Times New Roman"/>
          <w:color w:val="000000" w:themeColor="text1"/>
        </w:rPr>
      </w:pPr>
      <w:r>
        <w:rPr>
          <w:noProof/>
        </w:rPr>
        <w:drawing>
          <wp:inline distT="0" distB="0" distL="0" distR="0" wp14:anchorId="4515F595" wp14:editId="767B41B2">
            <wp:extent cx="5905500" cy="2743200"/>
            <wp:effectExtent l="0" t="0" r="19050" b="1905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242F" w:rsidRPr="00686357" w:rsidRDefault="0003242F" w:rsidP="00503CD1">
      <w:pPr>
        <w:autoSpaceDE w:val="0"/>
        <w:autoSpaceDN w:val="0"/>
        <w:adjustRightInd w:val="0"/>
        <w:spacing w:after="0" w:line="480" w:lineRule="auto"/>
        <w:jc w:val="both"/>
        <w:rPr>
          <w:rFonts w:ascii="Times New Roman" w:hAnsi="Times New Roman" w:cs="Times New Roman"/>
          <w:color w:val="000000" w:themeColor="text1"/>
        </w:rPr>
      </w:pPr>
      <w:r w:rsidRPr="00686357">
        <w:rPr>
          <w:rFonts w:ascii="Times New Roman" w:hAnsi="Times New Roman" w:cs="Times New Roman"/>
          <w:color w:val="000000" w:themeColor="text1"/>
        </w:rPr>
        <w:lastRenderedPageBreak/>
        <w:t>Figure 1. Indian OFDI flows (in US$ million) (</w:t>
      </w:r>
      <w:r w:rsidR="0094716D">
        <w:rPr>
          <w:rFonts w:ascii="Times New Roman" w:hAnsi="Times New Roman" w:cs="Times New Roman"/>
          <w:color w:val="000000" w:themeColor="text1"/>
        </w:rPr>
        <w:t xml:space="preserve">Source: </w:t>
      </w:r>
      <w:r w:rsidRPr="00686357">
        <w:rPr>
          <w:rFonts w:ascii="Times New Roman" w:hAnsi="Times New Roman" w:cs="Times New Roman"/>
          <w:color w:val="000000" w:themeColor="text1"/>
        </w:rPr>
        <w:t>UNCTAD, 2013</w:t>
      </w:r>
      <w:r w:rsidR="003B3FD3">
        <w:rPr>
          <w:rFonts w:ascii="Times New Roman" w:hAnsi="Times New Roman" w:cs="Times New Roman"/>
          <w:color w:val="000000" w:themeColor="text1"/>
        </w:rPr>
        <w:t>; RBI 2014</w:t>
      </w:r>
      <w:r w:rsidRPr="00686357">
        <w:rPr>
          <w:rFonts w:ascii="Times New Roman" w:hAnsi="Times New Roman" w:cs="Times New Roman"/>
          <w:color w:val="000000" w:themeColor="text1"/>
        </w:rPr>
        <w:t>)</w:t>
      </w:r>
    </w:p>
    <w:p w:rsidR="002311A0" w:rsidRPr="00686357" w:rsidRDefault="002311A0" w:rsidP="00503CD1">
      <w:pPr>
        <w:pStyle w:val="Default"/>
        <w:spacing w:line="480" w:lineRule="auto"/>
        <w:jc w:val="both"/>
        <w:rPr>
          <w:color w:val="auto"/>
          <w:sz w:val="22"/>
          <w:szCs w:val="22"/>
        </w:rPr>
      </w:pPr>
      <w:r w:rsidRPr="00686357">
        <w:rPr>
          <w:sz w:val="22"/>
          <w:szCs w:val="22"/>
        </w:rPr>
        <w:t xml:space="preserve">The main motives of Indian OFDI </w:t>
      </w:r>
      <w:r w:rsidR="00EC5FE4">
        <w:rPr>
          <w:sz w:val="22"/>
          <w:szCs w:val="22"/>
        </w:rPr>
        <w:t>have been the</w:t>
      </w:r>
      <w:r w:rsidRPr="00686357">
        <w:rPr>
          <w:sz w:val="22"/>
          <w:szCs w:val="22"/>
        </w:rPr>
        <w:t xml:space="preserve"> need to achieve economies of scale and the acquisition of skills, technologies, and distribution networks in order to increase the global competitiveness of Indian firms (Nayyar, 2008; Pradhan, 2008). Moreover, the search for strategic and complementary locational assets in metals, oil, gas and other raw materials, and the desire to diversify globally have also become relevant (Hattari </w:t>
      </w:r>
      <w:r w:rsidR="003F1E7E">
        <w:rPr>
          <w:sz w:val="22"/>
          <w:szCs w:val="22"/>
        </w:rPr>
        <w:t>&amp;</w:t>
      </w:r>
      <w:r w:rsidRPr="00686357">
        <w:rPr>
          <w:sz w:val="22"/>
          <w:szCs w:val="22"/>
        </w:rPr>
        <w:t xml:space="preserve"> Rajan, 2010). Finally, the geographic distribution of Indian OFDI has changed in the course of economic liberalization. Pre-liberalization Indian OFDI was concentrated largely toward developing economies in Asia and Africa and went mainly into specific </w:t>
      </w:r>
      <w:r w:rsidRPr="00686357">
        <w:rPr>
          <w:color w:val="auto"/>
          <w:sz w:val="22"/>
          <w:szCs w:val="22"/>
        </w:rPr>
        <w:t xml:space="preserve">manufacturing sectors where Indian firms faced little competition. Post liberalization and particularly since the 2000s, </w:t>
      </w:r>
      <w:r w:rsidR="004C5205" w:rsidRPr="00686357">
        <w:rPr>
          <w:color w:val="auto"/>
          <w:sz w:val="22"/>
          <w:szCs w:val="22"/>
        </w:rPr>
        <w:t xml:space="preserve">Indian </w:t>
      </w:r>
      <w:r w:rsidRPr="00686357">
        <w:rPr>
          <w:color w:val="auto"/>
          <w:sz w:val="22"/>
          <w:szCs w:val="22"/>
        </w:rPr>
        <w:t>OFDI flows mainly to developed countries in the form of M&amp;As and covers a broad spectrum of manufacturing and services sectors (</w:t>
      </w:r>
      <w:r w:rsidR="00793634">
        <w:rPr>
          <w:color w:val="auto"/>
          <w:sz w:val="22"/>
          <w:szCs w:val="22"/>
        </w:rPr>
        <w:t xml:space="preserve">Pradhan, 2007; </w:t>
      </w:r>
      <w:r w:rsidRPr="00686357">
        <w:rPr>
          <w:color w:val="auto"/>
          <w:sz w:val="22"/>
          <w:szCs w:val="22"/>
        </w:rPr>
        <w:t xml:space="preserve">Singal </w:t>
      </w:r>
      <w:r w:rsidR="003F1E7E">
        <w:rPr>
          <w:color w:val="auto"/>
          <w:sz w:val="22"/>
          <w:szCs w:val="22"/>
        </w:rPr>
        <w:t>&amp;</w:t>
      </w:r>
      <w:r w:rsidRPr="00686357">
        <w:rPr>
          <w:color w:val="auto"/>
          <w:sz w:val="22"/>
          <w:szCs w:val="22"/>
        </w:rPr>
        <w:t xml:space="preserve"> Jain, 2012).</w:t>
      </w:r>
    </w:p>
    <w:p w:rsidR="00540719" w:rsidRDefault="00540719" w:rsidP="00503CD1">
      <w:pPr>
        <w:spacing w:after="0" w:line="480" w:lineRule="auto"/>
        <w:jc w:val="both"/>
        <w:rPr>
          <w:rFonts w:ascii="Times New Roman" w:hAnsi="Times New Roman" w:cs="Times New Roman"/>
          <w:b/>
        </w:rPr>
      </w:pPr>
    </w:p>
    <w:p w:rsidR="00B978E4" w:rsidRDefault="0010273C" w:rsidP="00503CD1">
      <w:pPr>
        <w:spacing w:after="0" w:line="480" w:lineRule="auto"/>
        <w:jc w:val="both"/>
        <w:rPr>
          <w:rFonts w:ascii="Times New Roman" w:hAnsi="Times New Roman" w:cs="Times New Roman"/>
          <w:b/>
        </w:rPr>
      </w:pPr>
      <w:r>
        <w:rPr>
          <w:rFonts w:ascii="Times New Roman" w:hAnsi="Times New Roman" w:cs="Times New Roman"/>
          <w:b/>
        </w:rPr>
        <w:t xml:space="preserve">Indian </w:t>
      </w:r>
      <w:r w:rsidR="002F2B25" w:rsidRPr="00686357">
        <w:rPr>
          <w:rFonts w:ascii="Times New Roman" w:hAnsi="Times New Roman" w:cs="Times New Roman"/>
          <w:b/>
        </w:rPr>
        <w:t>OFDI in Germany</w:t>
      </w:r>
    </w:p>
    <w:p w:rsidR="00C762CB" w:rsidRPr="00686357" w:rsidRDefault="00C762CB" w:rsidP="00503CD1">
      <w:pPr>
        <w:spacing w:after="0" w:line="480" w:lineRule="auto"/>
        <w:jc w:val="both"/>
        <w:rPr>
          <w:rFonts w:ascii="Times New Roman" w:hAnsi="Times New Roman" w:cs="Times New Roman"/>
          <w:b/>
        </w:rPr>
      </w:pPr>
    </w:p>
    <w:p w:rsidR="00DA4E8D" w:rsidRDefault="00503A3C" w:rsidP="00503CD1">
      <w:pPr>
        <w:spacing w:after="0" w:line="480" w:lineRule="auto"/>
        <w:jc w:val="both"/>
        <w:rPr>
          <w:rFonts w:ascii="Times New Roman" w:hAnsi="Times New Roman" w:cs="Times New Roman"/>
        </w:rPr>
      </w:pPr>
      <w:r>
        <w:rPr>
          <w:rFonts w:ascii="Times New Roman" w:hAnsi="Times New Roman" w:cs="Times New Roman"/>
        </w:rPr>
        <w:t>D</w:t>
      </w:r>
      <w:r w:rsidR="00DA4E8D" w:rsidRPr="00686357">
        <w:rPr>
          <w:rFonts w:ascii="Times New Roman" w:hAnsi="Times New Roman" w:cs="Times New Roman"/>
        </w:rPr>
        <w:t xml:space="preserve">ue to the turbulent economic environment in </w:t>
      </w:r>
      <w:r w:rsidR="00960910" w:rsidRPr="00686357">
        <w:rPr>
          <w:rFonts w:ascii="Times New Roman" w:hAnsi="Times New Roman" w:cs="Times New Roman"/>
        </w:rPr>
        <w:t>Europe;</w:t>
      </w:r>
      <w:r w:rsidR="00DA4E8D" w:rsidRPr="00686357">
        <w:rPr>
          <w:rFonts w:ascii="Times New Roman" w:hAnsi="Times New Roman" w:cs="Times New Roman"/>
        </w:rPr>
        <w:t xml:space="preserve"> </w:t>
      </w:r>
      <w:r>
        <w:rPr>
          <w:rFonts w:ascii="Times New Roman" w:hAnsi="Times New Roman" w:cs="Times New Roman"/>
        </w:rPr>
        <w:t xml:space="preserve">it was observed by the industry experts that </w:t>
      </w:r>
      <w:r w:rsidR="00DA4E8D" w:rsidRPr="00686357">
        <w:rPr>
          <w:rFonts w:ascii="Times New Roman" w:hAnsi="Times New Roman" w:cs="Times New Roman"/>
        </w:rPr>
        <w:t>Indian</w:t>
      </w:r>
      <w:r w:rsidR="004C1A75" w:rsidRPr="00686357">
        <w:rPr>
          <w:rFonts w:ascii="Times New Roman" w:hAnsi="Times New Roman" w:cs="Times New Roman"/>
        </w:rPr>
        <w:t xml:space="preserve"> </w:t>
      </w:r>
      <w:r w:rsidR="00DA4E8D" w:rsidRPr="00686357">
        <w:rPr>
          <w:rFonts w:ascii="Times New Roman" w:hAnsi="Times New Roman" w:cs="Times New Roman"/>
        </w:rPr>
        <w:t>companies have been shying away from the EU</w:t>
      </w:r>
      <w:r w:rsidR="003800F0">
        <w:rPr>
          <w:rFonts w:ascii="Times New Roman" w:hAnsi="Times New Roman" w:cs="Times New Roman"/>
        </w:rPr>
        <w:t xml:space="preserve"> (</w:t>
      </w:r>
      <w:r w:rsidR="0064561A" w:rsidRPr="00101F20">
        <w:rPr>
          <w:rFonts w:ascii="Times New Roman" w:hAnsi="Times New Roman" w:cs="Times New Roman"/>
        </w:rPr>
        <w:t>Charlie</w:t>
      </w:r>
      <w:r w:rsidR="003800F0">
        <w:rPr>
          <w:rFonts w:ascii="Times New Roman" w:hAnsi="Times New Roman" w:cs="Times New Roman"/>
        </w:rPr>
        <w:t>, 2012)</w:t>
      </w:r>
      <w:r w:rsidR="00DA4E8D" w:rsidRPr="00686357">
        <w:rPr>
          <w:rFonts w:ascii="Times New Roman" w:hAnsi="Times New Roman" w:cs="Times New Roman"/>
        </w:rPr>
        <w:t xml:space="preserve">. However, the evidence points to the contrary. </w:t>
      </w:r>
      <w:r w:rsidR="004C1A75" w:rsidRPr="00686357">
        <w:rPr>
          <w:rFonts w:ascii="Times New Roman" w:hAnsi="Times New Roman" w:cs="Times New Roman"/>
        </w:rPr>
        <w:t xml:space="preserve"> E</w:t>
      </w:r>
      <w:r w:rsidR="00DA4E8D" w:rsidRPr="00686357">
        <w:rPr>
          <w:rFonts w:ascii="Times New Roman" w:hAnsi="Times New Roman" w:cs="Times New Roman"/>
        </w:rPr>
        <w:t xml:space="preserve">ven as Europe underwent a turbulent economic phase, with slow growth, high unemployment </w:t>
      </w:r>
      <w:r w:rsidR="004C1A75" w:rsidRPr="00686357">
        <w:rPr>
          <w:rFonts w:ascii="Times New Roman" w:hAnsi="Times New Roman" w:cs="Times New Roman"/>
        </w:rPr>
        <w:t>a</w:t>
      </w:r>
      <w:r w:rsidR="00DA4E8D" w:rsidRPr="00686357">
        <w:rPr>
          <w:rFonts w:ascii="Times New Roman" w:hAnsi="Times New Roman" w:cs="Times New Roman"/>
        </w:rPr>
        <w:t xml:space="preserve">nd a spiraling debt crisis, Indian </w:t>
      </w:r>
      <w:r w:rsidR="00354094" w:rsidRPr="00686357">
        <w:rPr>
          <w:rFonts w:ascii="Times New Roman" w:hAnsi="Times New Roman" w:cs="Times New Roman"/>
        </w:rPr>
        <w:t>firms</w:t>
      </w:r>
      <w:r w:rsidR="00DA4E8D" w:rsidRPr="00686357">
        <w:rPr>
          <w:rFonts w:ascii="Times New Roman" w:hAnsi="Times New Roman" w:cs="Times New Roman"/>
        </w:rPr>
        <w:t xml:space="preserve"> have not been deterred from moving into Europe. </w:t>
      </w:r>
    </w:p>
    <w:p w:rsidR="00F761DD" w:rsidRPr="00686357" w:rsidRDefault="00F761DD" w:rsidP="00503CD1">
      <w:pPr>
        <w:spacing w:after="0" w:line="480" w:lineRule="auto"/>
        <w:jc w:val="both"/>
        <w:rPr>
          <w:rFonts w:ascii="Times New Roman" w:hAnsi="Times New Roman" w:cs="Times New Roman"/>
        </w:rPr>
      </w:pPr>
    </w:p>
    <w:p w:rsidR="00DA4E8D" w:rsidRDefault="00DA4E8D" w:rsidP="00503CD1">
      <w:pPr>
        <w:spacing w:after="0" w:line="480" w:lineRule="auto"/>
        <w:jc w:val="both"/>
        <w:rPr>
          <w:rFonts w:ascii="Times New Roman" w:hAnsi="Times New Roman" w:cs="Times New Roman"/>
        </w:rPr>
      </w:pPr>
      <w:r w:rsidRPr="00686357">
        <w:rPr>
          <w:rFonts w:ascii="Times New Roman" w:hAnsi="Times New Roman" w:cs="Times New Roman"/>
        </w:rPr>
        <w:t>For example, despite the economic crisis, over the last four years, TCS has doubled its revenue from Europe to nearly US$3 billion. Its revenue from the continental Europe alone has jumped more than 60% to US$ 1.1 billion</w:t>
      </w:r>
      <w:r w:rsidR="00DA1EF9" w:rsidRPr="00686357">
        <w:rPr>
          <w:rFonts w:ascii="Times New Roman" w:hAnsi="Times New Roman" w:cs="Times New Roman"/>
        </w:rPr>
        <w:t xml:space="preserve"> (</w:t>
      </w:r>
      <w:r w:rsidR="00252DD0">
        <w:rPr>
          <w:rFonts w:ascii="Times New Roman" w:hAnsi="Times New Roman" w:cs="Times New Roman"/>
        </w:rPr>
        <w:t>Thoppil, 2013</w:t>
      </w:r>
      <w:r w:rsidR="00DA1EF9" w:rsidRPr="00686357">
        <w:rPr>
          <w:rFonts w:ascii="Times New Roman" w:eastAsia="Times New Roman" w:hAnsi="Times New Roman" w:cs="Times New Roman"/>
        </w:rPr>
        <w:t>)</w:t>
      </w:r>
      <w:r w:rsidRPr="00686357">
        <w:rPr>
          <w:rFonts w:ascii="Times New Roman" w:hAnsi="Times New Roman" w:cs="Times New Roman"/>
        </w:rPr>
        <w:t xml:space="preserve">. Evidence also shows a renewed interest in Europe despite tough labor laws, language barriers and high costs of operation. For example, beginning of </w:t>
      </w:r>
      <w:r w:rsidR="00354094" w:rsidRPr="00686357">
        <w:rPr>
          <w:rFonts w:ascii="Times New Roman" w:hAnsi="Times New Roman" w:cs="Times New Roman"/>
        </w:rPr>
        <w:t>2013</w:t>
      </w:r>
      <w:r w:rsidR="00960910" w:rsidRPr="00686357">
        <w:rPr>
          <w:rFonts w:ascii="Times New Roman" w:hAnsi="Times New Roman" w:cs="Times New Roman"/>
        </w:rPr>
        <w:t>,</w:t>
      </w:r>
      <w:r w:rsidRPr="00686357">
        <w:rPr>
          <w:rFonts w:ascii="Times New Roman" w:hAnsi="Times New Roman" w:cs="Times New Roman"/>
        </w:rPr>
        <w:t xml:space="preserve"> Cognizent acquired 6 companies of German</w:t>
      </w:r>
      <w:r w:rsidR="002F3C80" w:rsidRPr="00686357">
        <w:rPr>
          <w:rFonts w:ascii="Times New Roman" w:hAnsi="Times New Roman" w:cs="Times New Roman"/>
        </w:rPr>
        <w:t>y</w:t>
      </w:r>
      <w:r w:rsidRPr="00686357">
        <w:rPr>
          <w:rFonts w:ascii="Times New Roman" w:hAnsi="Times New Roman" w:cs="Times New Roman"/>
        </w:rPr>
        <w:t>’s C1 group. Geometric Ltd. Acquired 3 cap technologies with 110 employ</w:t>
      </w:r>
      <w:r w:rsidR="004C1A75" w:rsidRPr="00686357">
        <w:rPr>
          <w:rFonts w:ascii="Times New Roman" w:hAnsi="Times New Roman" w:cs="Times New Roman"/>
        </w:rPr>
        <w:t>ees in Germany</w:t>
      </w:r>
      <w:r w:rsidR="00EE1845" w:rsidRPr="00686357">
        <w:rPr>
          <w:rFonts w:ascii="Times New Roman" w:hAnsi="Times New Roman" w:cs="Times New Roman"/>
        </w:rPr>
        <w:t xml:space="preserve"> for € 11 million</w:t>
      </w:r>
      <w:r w:rsidR="004C1A75" w:rsidRPr="00686357">
        <w:rPr>
          <w:rFonts w:ascii="Times New Roman" w:hAnsi="Times New Roman" w:cs="Times New Roman"/>
        </w:rPr>
        <w:t>. Infosys bought S</w:t>
      </w:r>
      <w:r w:rsidRPr="00686357">
        <w:rPr>
          <w:rFonts w:ascii="Times New Roman" w:hAnsi="Times New Roman" w:cs="Times New Roman"/>
        </w:rPr>
        <w:t xml:space="preserve">wiss based lodestone </w:t>
      </w:r>
      <w:r w:rsidR="004C1A75" w:rsidRPr="00686357">
        <w:rPr>
          <w:rFonts w:ascii="Times New Roman" w:hAnsi="Times New Roman" w:cs="Times New Roman"/>
        </w:rPr>
        <w:t>holding company along with its G</w:t>
      </w:r>
      <w:r w:rsidRPr="00686357">
        <w:rPr>
          <w:rFonts w:ascii="Times New Roman" w:hAnsi="Times New Roman" w:cs="Times New Roman"/>
        </w:rPr>
        <w:t xml:space="preserve">erman </w:t>
      </w:r>
      <w:r w:rsidR="004C1A75" w:rsidRPr="00686357">
        <w:rPr>
          <w:rFonts w:ascii="Times New Roman" w:hAnsi="Times New Roman" w:cs="Times New Roman"/>
        </w:rPr>
        <w:t>subsidiary</w:t>
      </w:r>
      <w:r w:rsidRPr="00686357">
        <w:rPr>
          <w:rFonts w:ascii="Times New Roman" w:hAnsi="Times New Roman" w:cs="Times New Roman"/>
        </w:rPr>
        <w:t xml:space="preserve"> for </w:t>
      </w:r>
      <w:r w:rsidR="00354094" w:rsidRPr="00686357">
        <w:rPr>
          <w:rFonts w:ascii="Times New Roman" w:hAnsi="Times New Roman" w:cs="Times New Roman"/>
        </w:rPr>
        <w:t>US$ 350 million</w:t>
      </w:r>
      <w:r w:rsidRPr="00686357">
        <w:rPr>
          <w:rFonts w:ascii="Times New Roman" w:hAnsi="Times New Roman" w:cs="Times New Roman"/>
        </w:rPr>
        <w:t xml:space="preserve">. </w:t>
      </w:r>
      <w:r w:rsidR="004C1A75" w:rsidRPr="00686357">
        <w:rPr>
          <w:rFonts w:ascii="Times New Roman" w:hAnsi="Times New Roman" w:cs="Times New Roman"/>
        </w:rPr>
        <w:t>Elsewhere</w:t>
      </w:r>
      <w:r w:rsidRPr="00686357">
        <w:rPr>
          <w:rFonts w:ascii="Times New Roman" w:hAnsi="Times New Roman" w:cs="Times New Roman"/>
        </w:rPr>
        <w:t>, TCS acquired French company A</w:t>
      </w:r>
      <w:r w:rsidR="00FA0882" w:rsidRPr="00686357">
        <w:rPr>
          <w:rFonts w:ascii="Times New Roman" w:hAnsi="Times New Roman" w:cs="Times New Roman"/>
        </w:rPr>
        <w:t xml:space="preserve">lti </w:t>
      </w:r>
      <w:r w:rsidRPr="00686357">
        <w:rPr>
          <w:rFonts w:ascii="Times New Roman" w:hAnsi="Times New Roman" w:cs="Times New Roman"/>
        </w:rPr>
        <w:t xml:space="preserve">SA for </w:t>
      </w:r>
      <w:r w:rsidR="00354094" w:rsidRPr="00686357">
        <w:rPr>
          <w:rFonts w:ascii="Times New Roman" w:hAnsi="Times New Roman" w:cs="Times New Roman"/>
        </w:rPr>
        <w:t>€</w:t>
      </w:r>
      <w:r w:rsidR="00EE1845" w:rsidRPr="00686357">
        <w:rPr>
          <w:rFonts w:ascii="Times New Roman" w:hAnsi="Times New Roman" w:cs="Times New Roman"/>
        </w:rPr>
        <w:t xml:space="preserve"> </w:t>
      </w:r>
      <w:r w:rsidRPr="00686357">
        <w:rPr>
          <w:rFonts w:ascii="Times New Roman" w:hAnsi="Times New Roman" w:cs="Times New Roman"/>
        </w:rPr>
        <w:t>75 m</w:t>
      </w:r>
      <w:r w:rsidR="00354094" w:rsidRPr="00686357">
        <w:rPr>
          <w:rFonts w:ascii="Times New Roman" w:hAnsi="Times New Roman" w:cs="Times New Roman"/>
        </w:rPr>
        <w:t xml:space="preserve">illion, </w:t>
      </w:r>
      <w:r w:rsidRPr="00686357">
        <w:rPr>
          <w:rFonts w:ascii="Times New Roman" w:hAnsi="Times New Roman" w:cs="Times New Roman"/>
        </w:rPr>
        <w:t xml:space="preserve">and </w:t>
      </w:r>
      <w:r w:rsidRPr="00686357">
        <w:rPr>
          <w:rFonts w:ascii="Times New Roman" w:hAnsi="Times New Roman" w:cs="Times New Roman"/>
        </w:rPr>
        <w:lastRenderedPageBreak/>
        <w:t>first week of October</w:t>
      </w:r>
      <w:r w:rsidR="004C1A75" w:rsidRPr="00686357">
        <w:rPr>
          <w:rFonts w:ascii="Times New Roman" w:hAnsi="Times New Roman" w:cs="Times New Roman"/>
        </w:rPr>
        <w:t xml:space="preserve"> 2013</w:t>
      </w:r>
      <w:r w:rsidR="00354094" w:rsidRPr="00686357">
        <w:rPr>
          <w:rFonts w:ascii="Times New Roman" w:hAnsi="Times New Roman" w:cs="Times New Roman"/>
        </w:rPr>
        <w:t>,</w:t>
      </w:r>
      <w:r w:rsidRPr="00686357">
        <w:rPr>
          <w:rFonts w:ascii="Times New Roman" w:hAnsi="Times New Roman" w:cs="Times New Roman"/>
        </w:rPr>
        <w:t xml:space="preserve"> saw Cognizant acquiring Equinox consulting based in France for an undisclosed sum.</w:t>
      </w:r>
    </w:p>
    <w:p w:rsidR="00F761DD" w:rsidRPr="00686357" w:rsidRDefault="00F761DD" w:rsidP="00503CD1">
      <w:pPr>
        <w:spacing w:after="0" w:line="480" w:lineRule="auto"/>
        <w:jc w:val="both"/>
        <w:rPr>
          <w:rFonts w:ascii="Times New Roman" w:hAnsi="Times New Roman" w:cs="Times New Roman"/>
        </w:rPr>
      </w:pPr>
    </w:p>
    <w:p w:rsidR="00117666" w:rsidRDefault="00750E8B" w:rsidP="00503CD1">
      <w:pPr>
        <w:spacing w:after="0" w:line="480" w:lineRule="auto"/>
        <w:jc w:val="both"/>
        <w:rPr>
          <w:rFonts w:ascii="Times New Roman" w:hAnsi="Times New Roman" w:cs="Times New Roman"/>
        </w:rPr>
      </w:pPr>
      <w:r w:rsidRPr="00686357">
        <w:rPr>
          <w:rFonts w:ascii="Times New Roman" w:hAnsi="Times New Roman" w:cs="Times New Roman"/>
        </w:rPr>
        <w:t>To strengthen this argument further, a survey conducted by Fed</w:t>
      </w:r>
      <w:r w:rsidR="00960910" w:rsidRPr="00686357">
        <w:rPr>
          <w:rFonts w:ascii="Times New Roman" w:hAnsi="Times New Roman" w:cs="Times New Roman"/>
        </w:rPr>
        <w:t>eration</w:t>
      </w:r>
      <w:r w:rsidRPr="00686357">
        <w:rPr>
          <w:rFonts w:ascii="Times New Roman" w:hAnsi="Times New Roman" w:cs="Times New Roman"/>
        </w:rPr>
        <w:t xml:space="preserve"> of Indian chambers of commerce and industry reports that</w:t>
      </w:r>
      <w:r w:rsidR="004C1A75" w:rsidRPr="00686357">
        <w:rPr>
          <w:rFonts w:ascii="Times New Roman" w:hAnsi="Times New Roman" w:cs="Times New Roman"/>
        </w:rPr>
        <w:t xml:space="preserve"> over the years, I</w:t>
      </w:r>
      <w:r w:rsidRPr="00686357">
        <w:rPr>
          <w:rFonts w:ascii="Times New Roman" w:hAnsi="Times New Roman" w:cs="Times New Roman"/>
        </w:rPr>
        <w:t>ndian companies have shed their pessimism and have seen an upsurge in their business prospects in the region</w:t>
      </w:r>
      <w:r w:rsidR="00354094" w:rsidRPr="00686357">
        <w:rPr>
          <w:rFonts w:ascii="Times New Roman" w:hAnsi="Times New Roman" w:cs="Times New Roman"/>
        </w:rPr>
        <w:t xml:space="preserve"> (FICCI, 2013)</w:t>
      </w:r>
      <w:r w:rsidRPr="00686357">
        <w:rPr>
          <w:rFonts w:ascii="Times New Roman" w:hAnsi="Times New Roman" w:cs="Times New Roman"/>
        </w:rPr>
        <w:t xml:space="preserve">. </w:t>
      </w:r>
      <w:r w:rsidR="00960910" w:rsidRPr="00686357">
        <w:rPr>
          <w:rFonts w:ascii="Times New Roman" w:hAnsi="Times New Roman" w:cs="Times New Roman"/>
        </w:rPr>
        <w:t>Furthermore, a</w:t>
      </w:r>
      <w:r w:rsidR="00126872" w:rsidRPr="00686357">
        <w:rPr>
          <w:rFonts w:ascii="Times New Roman" w:hAnsi="Times New Roman" w:cs="Times New Roman"/>
        </w:rPr>
        <w:t>ccording to a report by Europe India Chamber of Commerce (</w:t>
      </w:r>
      <w:r w:rsidR="0064561A" w:rsidRPr="00101F20">
        <w:rPr>
          <w:rFonts w:ascii="Times New Roman" w:hAnsi="Times New Roman" w:cs="Times New Roman"/>
        </w:rPr>
        <w:t>Charlie</w:t>
      </w:r>
      <w:r w:rsidR="009272B1" w:rsidRPr="00686357">
        <w:rPr>
          <w:rFonts w:ascii="Times New Roman" w:hAnsi="Times New Roman" w:cs="Times New Roman"/>
        </w:rPr>
        <w:t>, 201</w:t>
      </w:r>
      <w:r w:rsidR="00947F3F">
        <w:rPr>
          <w:rFonts w:ascii="Times New Roman" w:hAnsi="Times New Roman" w:cs="Times New Roman"/>
        </w:rPr>
        <w:t>2</w:t>
      </w:r>
      <w:r w:rsidR="00354094" w:rsidRPr="00686357">
        <w:rPr>
          <w:rFonts w:ascii="Times New Roman" w:hAnsi="Times New Roman" w:cs="Times New Roman"/>
        </w:rPr>
        <w:t>), Indian companies have inv</w:t>
      </w:r>
      <w:r w:rsidR="00126872" w:rsidRPr="00686357">
        <w:rPr>
          <w:rFonts w:ascii="Times New Roman" w:hAnsi="Times New Roman" w:cs="Times New Roman"/>
        </w:rPr>
        <w:t>ested US$</w:t>
      </w:r>
      <w:r w:rsidR="00354094" w:rsidRPr="00686357">
        <w:rPr>
          <w:rFonts w:ascii="Times New Roman" w:hAnsi="Times New Roman" w:cs="Times New Roman"/>
        </w:rPr>
        <w:t xml:space="preserve"> </w:t>
      </w:r>
      <w:r w:rsidR="00126872" w:rsidRPr="00686357">
        <w:rPr>
          <w:rFonts w:ascii="Times New Roman" w:hAnsi="Times New Roman" w:cs="Times New Roman"/>
        </w:rPr>
        <w:t xml:space="preserve">56 billion across the continent during </w:t>
      </w:r>
      <w:r w:rsidR="00354094" w:rsidRPr="00686357">
        <w:rPr>
          <w:rFonts w:ascii="Times New Roman" w:hAnsi="Times New Roman" w:cs="Times New Roman"/>
        </w:rPr>
        <w:t xml:space="preserve">the period of </w:t>
      </w:r>
      <w:r w:rsidR="00126872" w:rsidRPr="00686357">
        <w:rPr>
          <w:rFonts w:ascii="Times New Roman" w:hAnsi="Times New Roman" w:cs="Times New Roman"/>
        </w:rPr>
        <w:t>2003-2012</w:t>
      </w:r>
      <w:r w:rsidR="00A667C3">
        <w:rPr>
          <w:rFonts w:ascii="Times New Roman" w:hAnsi="Times New Roman" w:cs="Times New Roman"/>
        </w:rPr>
        <w:t>, shown in Figure 2</w:t>
      </w:r>
      <w:r w:rsidR="00126872" w:rsidRPr="00686357">
        <w:rPr>
          <w:rFonts w:ascii="Times New Roman" w:hAnsi="Times New Roman" w:cs="Times New Roman"/>
        </w:rPr>
        <w:t>, of which US$ 38.47 billion was invested through M&amp;A transactions. Furthermore, Indian firms employ 134,000 professionals in Europe including 40,000 new jobs created by 511 green-field investments</w:t>
      </w:r>
      <w:r w:rsidR="003E7E55" w:rsidRPr="00686357">
        <w:rPr>
          <w:rFonts w:ascii="Times New Roman" w:hAnsi="Times New Roman" w:cs="Times New Roman"/>
        </w:rPr>
        <w:t>, three times more than the jobs created by firms from other emerging markets, like China</w:t>
      </w:r>
      <w:r w:rsidR="00126872" w:rsidRPr="00686357">
        <w:rPr>
          <w:rFonts w:ascii="Times New Roman" w:hAnsi="Times New Roman" w:cs="Times New Roman"/>
        </w:rPr>
        <w:t xml:space="preserve"> (</w:t>
      </w:r>
      <w:r w:rsidR="00D227C5" w:rsidRPr="00101F20">
        <w:rPr>
          <w:rFonts w:ascii="Times New Roman" w:hAnsi="Times New Roman" w:cs="Times New Roman"/>
        </w:rPr>
        <w:t>Charlie</w:t>
      </w:r>
      <w:r w:rsidR="00126872" w:rsidRPr="00686357">
        <w:rPr>
          <w:rFonts w:ascii="Times New Roman" w:hAnsi="Times New Roman" w:cs="Times New Roman"/>
        </w:rPr>
        <w:t>, 201</w:t>
      </w:r>
      <w:r w:rsidR="00947F3F">
        <w:rPr>
          <w:rFonts w:ascii="Times New Roman" w:hAnsi="Times New Roman" w:cs="Times New Roman"/>
        </w:rPr>
        <w:t>2</w:t>
      </w:r>
      <w:r w:rsidR="00126872" w:rsidRPr="00686357">
        <w:rPr>
          <w:rFonts w:ascii="Times New Roman" w:hAnsi="Times New Roman" w:cs="Times New Roman"/>
        </w:rPr>
        <w:t xml:space="preserve">). </w:t>
      </w:r>
      <w:r w:rsidR="00117666">
        <w:rPr>
          <w:rFonts w:ascii="Times New Roman" w:hAnsi="Times New Roman" w:cs="Times New Roman"/>
        </w:rPr>
        <w:t xml:space="preserve">And, most of this investment was directed toward Germany, India’s </w:t>
      </w:r>
      <w:r w:rsidR="00117666" w:rsidRPr="00117666">
        <w:rPr>
          <w:rFonts w:ascii="Times New Roman" w:hAnsi="Times New Roman" w:cs="Times New Roman"/>
        </w:rPr>
        <w:t>largest trading partner in Europe and 6th largest trading partner globally. Germany is also India’s second largest technology partner. India’s significance as a trading partner for Germany is also on the increase. Currently India ranks at the 28th position amongst trading partners for Germany worldwide, and ranks 5th among Asian exporters to Germany</w:t>
      </w:r>
      <w:r w:rsidR="00117666">
        <w:rPr>
          <w:rFonts w:ascii="Times New Roman" w:hAnsi="Times New Roman" w:cs="Times New Roman"/>
        </w:rPr>
        <w:t xml:space="preserve"> (FICCI, 2012)</w:t>
      </w:r>
      <w:r w:rsidR="00117666" w:rsidRPr="00117666">
        <w:rPr>
          <w:rFonts w:ascii="Times New Roman" w:hAnsi="Times New Roman" w:cs="Times New Roman"/>
        </w:rPr>
        <w:t>.</w:t>
      </w:r>
    </w:p>
    <w:p w:rsidR="00540719" w:rsidRPr="00117666" w:rsidRDefault="0060792A" w:rsidP="00503CD1">
      <w:pPr>
        <w:spacing w:after="0" w:line="480" w:lineRule="auto"/>
        <w:jc w:val="both"/>
        <w:rPr>
          <w:rFonts w:ascii="Times New Roman" w:hAnsi="Times New Roman" w:cs="Times New Roman"/>
        </w:rPr>
      </w:pPr>
      <w:r w:rsidRPr="00686357">
        <w:rPr>
          <w:rFonts w:ascii="Times New Roman" w:hAnsi="Times New Roman" w:cs="Times New Roman"/>
          <w:noProof/>
        </w:rPr>
        <w:drawing>
          <wp:inline distT="0" distB="0" distL="0" distR="0" wp14:anchorId="4F806F81" wp14:editId="0D428407">
            <wp:extent cx="6000750" cy="2924175"/>
            <wp:effectExtent l="0" t="0" r="19050" b="952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41B4" w:rsidRDefault="003A06AB" w:rsidP="00503CD1">
      <w:pPr>
        <w:spacing w:after="0" w:line="480" w:lineRule="auto"/>
        <w:jc w:val="both"/>
        <w:rPr>
          <w:rFonts w:ascii="Times New Roman" w:hAnsi="Times New Roman" w:cs="Times New Roman"/>
        </w:rPr>
      </w:pPr>
      <w:r w:rsidRPr="00686357">
        <w:rPr>
          <w:rFonts w:ascii="Times New Roman" w:hAnsi="Times New Roman" w:cs="Times New Roman"/>
        </w:rPr>
        <w:t xml:space="preserve">Figure 2. </w:t>
      </w:r>
      <w:r w:rsidR="001A41B4" w:rsidRPr="00686357">
        <w:rPr>
          <w:rFonts w:ascii="Times New Roman" w:hAnsi="Times New Roman" w:cs="Times New Roman"/>
        </w:rPr>
        <w:t xml:space="preserve">Inflows from India into the EU </w:t>
      </w:r>
      <w:r w:rsidR="00DD4AE8" w:rsidRPr="00686357">
        <w:rPr>
          <w:rFonts w:ascii="Times New Roman" w:hAnsi="Times New Roman" w:cs="Times New Roman"/>
        </w:rPr>
        <w:t xml:space="preserve">(in € billion) </w:t>
      </w:r>
      <w:r w:rsidR="001A41B4" w:rsidRPr="00686357">
        <w:rPr>
          <w:rFonts w:ascii="Times New Roman" w:hAnsi="Times New Roman" w:cs="Times New Roman"/>
        </w:rPr>
        <w:t>(</w:t>
      </w:r>
      <w:r w:rsidR="0094716D">
        <w:rPr>
          <w:rFonts w:ascii="Times New Roman" w:hAnsi="Times New Roman" w:cs="Times New Roman"/>
        </w:rPr>
        <w:t xml:space="preserve">Source: </w:t>
      </w:r>
      <w:r w:rsidR="00252ABB" w:rsidRPr="00101F20">
        <w:rPr>
          <w:rFonts w:ascii="Times New Roman" w:hAnsi="Times New Roman" w:cs="Times New Roman"/>
        </w:rPr>
        <w:t>Charlie</w:t>
      </w:r>
      <w:r w:rsidR="001A41B4" w:rsidRPr="00686357">
        <w:rPr>
          <w:rFonts w:ascii="Times New Roman" w:hAnsi="Times New Roman" w:cs="Times New Roman"/>
        </w:rPr>
        <w:t>, 201</w:t>
      </w:r>
      <w:r w:rsidR="00947F3F">
        <w:rPr>
          <w:rFonts w:ascii="Times New Roman" w:hAnsi="Times New Roman" w:cs="Times New Roman"/>
        </w:rPr>
        <w:t>2</w:t>
      </w:r>
      <w:r w:rsidR="001A41B4" w:rsidRPr="00686357">
        <w:rPr>
          <w:rFonts w:ascii="Times New Roman" w:hAnsi="Times New Roman" w:cs="Times New Roman"/>
        </w:rPr>
        <w:t>)</w:t>
      </w:r>
    </w:p>
    <w:p w:rsidR="00781EB7" w:rsidRPr="00686357" w:rsidRDefault="001A1FF8" w:rsidP="00503CD1">
      <w:pPr>
        <w:autoSpaceDE w:val="0"/>
        <w:autoSpaceDN w:val="0"/>
        <w:adjustRightInd w:val="0"/>
        <w:spacing w:after="0" w:line="480" w:lineRule="auto"/>
        <w:jc w:val="both"/>
        <w:rPr>
          <w:rFonts w:ascii="Times New Roman" w:hAnsi="Times New Roman" w:cs="Times New Roman"/>
        </w:rPr>
      </w:pPr>
      <w:r w:rsidRPr="00686357">
        <w:rPr>
          <w:rFonts w:ascii="Times New Roman" w:eastAsia="Times New Roman" w:hAnsi="Times New Roman" w:cs="Times New Roman"/>
        </w:rPr>
        <w:lastRenderedPageBreak/>
        <w:t xml:space="preserve">India and Germany have </w:t>
      </w:r>
      <w:r w:rsidR="00C55E64" w:rsidRPr="00686357">
        <w:rPr>
          <w:rFonts w:ascii="Times New Roman" w:eastAsia="Times New Roman" w:hAnsi="Times New Roman" w:cs="Times New Roman"/>
        </w:rPr>
        <w:t xml:space="preserve">been in </w:t>
      </w:r>
      <w:r w:rsidRPr="00686357">
        <w:rPr>
          <w:rFonts w:ascii="Times New Roman" w:eastAsia="Times New Roman" w:hAnsi="Times New Roman" w:cs="Times New Roman"/>
        </w:rPr>
        <w:t xml:space="preserve">a </w:t>
      </w:r>
      <w:r w:rsidRPr="00686357">
        <w:rPr>
          <w:rFonts w:ascii="Times New Roman" w:eastAsia="Times New Roman" w:hAnsi="Times New Roman" w:cs="Times New Roman"/>
          <w:i/>
          <w:iCs/>
        </w:rPr>
        <w:t>‘strategic partnership’</w:t>
      </w:r>
      <w:r w:rsidRPr="00686357">
        <w:rPr>
          <w:rFonts w:ascii="Times New Roman" w:eastAsia="Times New Roman" w:hAnsi="Times New Roman" w:cs="Times New Roman"/>
        </w:rPr>
        <w:t xml:space="preserve"> since </w:t>
      </w:r>
      <w:r w:rsidR="00C55E64" w:rsidRPr="00686357">
        <w:rPr>
          <w:rFonts w:ascii="Times New Roman" w:eastAsia="Times New Roman" w:hAnsi="Times New Roman" w:cs="Times New Roman"/>
        </w:rPr>
        <w:t xml:space="preserve">the year </w:t>
      </w:r>
      <w:r w:rsidRPr="00686357">
        <w:rPr>
          <w:rFonts w:ascii="Times New Roman" w:eastAsia="Times New Roman" w:hAnsi="Times New Roman" w:cs="Times New Roman"/>
        </w:rPr>
        <w:t>2000</w:t>
      </w:r>
      <w:r w:rsidR="00782D77" w:rsidRPr="00686357">
        <w:rPr>
          <w:rFonts w:ascii="Times New Roman" w:eastAsia="Times New Roman" w:hAnsi="Times New Roman" w:cs="Times New Roman"/>
        </w:rPr>
        <w:t xml:space="preserve">. </w:t>
      </w:r>
      <w:r w:rsidRPr="00686357">
        <w:rPr>
          <w:rFonts w:ascii="Times New Roman" w:eastAsia="Times New Roman" w:hAnsi="Times New Roman" w:cs="Times New Roman"/>
        </w:rPr>
        <w:t>Economic and commercial relations between India and Germany date back to the early 16th century when German trading companies from Augsburg and Nuremberg, developed a new sea route around Africa, as they sailed in search of precious stones and spices. Thereafter, a number of German companies were established with the express purpose of trading with India and other Asian countries in the 16th and 18th centuries</w:t>
      </w:r>
      <w:r w:rsidR="006B4A93" w:rsidRPr="00686357">
        <w:rPr>
          <w:rFonts w:ascii="Times New Roman" w:eastAsia="Times New Roman" w:hAnsi="Times New Roman" w:cs="Times New Roman"/>
        </w:rPr>
        <w:t xml:space="preserve"> (</w:t>
      </w:r>
      <w:r w:rsidR="00252ABB" w:rsidRPr="00101F20">
        <w:rPr>
          <w:rFonts w:ascii="Times New Roman" w:hAnsi="Times New Roman" w:cs="Times New Roman"/>
        </w:rPr>
        <w:t>Charlie</w:t>
      </w:r>
      <w:r w:rsidR="00D47370" w:rsidRPr="00686357">
        <w:rPr>
          <w:rFonts w:ascii="Times New Roman" w:eastAsia="Times New Roman" w:hAnsi="Times New Roman" w:cs="Times New Roman"/>
        </w:rPr>
        <w:t>, 201</w:t>
      </w:r>
      <w:r w:rsidR="00D47370">
        <w:rPr>
          <w:rFonts w:ascii="Times New Roman" w:eastAsia="Times New Roman" w:hAnsi="Times New Roman" w:cs="Times New Roman"/>
        </w:rPr>
        <w:t>2; FICCI, 2012</w:t>
      </w:r>
      <w:r w:rsidR="006B4A93" w:rsidRPr="00686357">
        <w:rPr>
          <w:rFonts w:ascii="Times New Roman" w:eastAsia="Times New Roman" w:hAnsi="Times New Roman" w:cs="Times New Roman"/>
        </w:rPr>
        <w:t>)</w:t>
      </w:r>
      <w:r w:rsidRPr="00686357">
        <w:rPr>
          <w:rFonts w:ascii="Times New Roman" w:eastAsia="Times New Roman" w:hAnsi="Times New Roman" w:cs="Times New Roman"/>
        </w:rPr>
        <w:t xml:space="preserve">. </w:t>
      </w:r>
      <w:r w:rsidR="00782D77" w:rsidRPr="00686357">
        <w:rPr>
          <w:rFonts w:ascii="Times New Roman" w:eastAsia="Times New Roman" w:hAnsi="Times New Roman" w:cs="Times New Roman"/>
        </w:rPr>
        <w:t xml:space="preserve">And, over the </w:t>
      </w:r>
      <w:r w:rsidR="00DA1EF9" w:rsidRPr="00686357">
        <w:rPr>
          <w:rFonts w:ascii="Times New Roman" w:eastAsia="Times New Roman" w:hAnsi="Times New Roman" w:cs="Times New Roman"/>
        </w:rPr>
        <w:t>years</w:t>
      </w:r>
      <w:r w:rsidR="00782D77" w:rsidRPr="00686357">
        <w:rPr>
          <w:rFonts w:ascii="Times New Roman" w:eastAsia="Times New Roman" w:hAnsi="Times New Roman" w:cs="Times New Roman"/>
        </w:rPr>
        <w:t xml:space="preserve"> </w:t>
      </w:r>
      <w:r w:rsidRPr="00686357">
        <w:rPr>
          <w:rFonts w:ascii="Times New Roman" w:eastAsia="Times New Roman" w:hAnsi="Times New Roman" w:cs="Times New Roman"/>
        </w:rPr>
        <w:t xml:space="preserve">Germany </w:t>
      </w:r>
      <w:r w:rsidR="00782D77" w:rsidRPr="00686357">
        <w:rPr>
          <w:rFonts w:ascii="Times New Roman" w:eastAsia="Times New Roman" w:hAnsi="Times New Roman" w:cs="Times New Roman"/>
        </w:rPr>
        <w:t>has emerged as</w:t>
      </w:r>
      <w:r w:rsidRPr="00686357">
        <w:rPr>
          <w:rFonts w:ascii="Times New Roman" w:eastAsia="Times New Roman" w:hAnsi="Times New Roman" w:cs="Times New Roman"/>
        </w:rPr>
        <w:t xml:space="preserve"> India’s largest trading partner in Europe</w:t>
      </w:r>
      <w:r w:rsidR="00782D77" w:rsidRPr="00686357">
        <w:rPr>
          <w:rFonts w:ascii="Times New Roman" w:eastAsia="Times New Roman" w:hAnsi="Times New Roman" w:cs="Times New Roman"/>
        </w:rPr>
        <w:t xml:space="preserve">. </w:t>
      </w:r>
      <w:r w:rsidRPr="00686357">
        <w:rPr>
          <w:rFonts w:ascii="Times New Roman" w:eastAsia="Times New Roman" w:hAnsi="Times New Roman" w:cs="Times New Roman"/>
        </w:rPr>
        <w:t>Indian investments in Germany have also shown a remarkable increase in the last few years.</w:t>
      </w:r>
      <w:r w:rsidR="00D6160D" w:rsidRPr="00686357">
        <w:rPr>
          <w:rFonts w:ascii="Times New Roman" w:eastAsia="Times New Roman" w:hAnsi="Times New Roman" w:cs="Times New Roman"/>
        </w:rPr>
        <w:t xml:space="preserve"> </w:t>
      </w:r>
      <w:r w:rsidR="00D6160D" w:rsidRPr="00686357">
        <w:rPr>
          <w:rFonts w:ascii="Times New Roman" w:hAnsi="Times New Roman" w:cs="Times New Roman"/>
        </w:rPr>
        <w:t>Bilateral trade reached € 15.18 billion in October 2011</w:t>
      </w:r>
      <w:r w:rsidR="00DA5B8D">
        <w:rPr>
          <w:rFonts w:ascii="Times New Roman" w:hAnsi="Times New Roman" w:cs="Times New Roman"/>
        </w:rPr>
        <w:t xml:space="preserve"> (FICCI, 2012)</w:t>
      </w:r>
      <w:r w:rsidR="00D6160D" w:rsidRPr="00686357">
        <w:rPr>
          <w:rFonts w:ascii="Times New Roman" w:hAnsi="Times New Roman" w:cs="Times New Roman"/>
        </w:rPr>
        <w:t>, however</w:t>
      </w:r>
      <w:r w:rsidR="002C7315" w:rsidRPr="00686357">
        <w:rPr>
          <w:rFonts w:ascii="Times New Roman" w:hAnsi="Times New Roman" w:cs="Times New Roman"/>
        </w:rPr>
        <w:t>,</w:t>
      </w:r>
      <w:r w:rsidR="00D6160D" w:rsidRPr="00686357">
        <w:rPr>
          <w:rFonts w:ascii="Times New Roman" w:hAnsi="Times New Roman" w:cs="Times New Roman"/>
        </w:rPr>
        <w:t xml:space="preserve"> the “EUR 20 billion mark” the ambitious goal of German Chancellor Angela Merkel and </w:t>
      </w:r>
      <w:r w:rsidR="00170C59">
        <w:rPr>
          <w:rFonts w:ascii="Times New Roman" w:hAnsi="Times New Roman" w:cs="Times New Roman"/>
        </w:rPr>
        <w:t xml:space="preserve">previous </w:t>
      </w:r>
      <w:r w:rsidR="00D6160D" w:rsidRPr="00686357">
        <w:rPr>
          <w:rFonts w:ascii="Times New Roman" w:hAnsi="Times New Roman" w:cs="Times New Roman"/>
        </w:rPr>
        <w:t>Indian Prime Minister Manmohan Singh to reach in 2012, remained elusive owing to the dynamic economic environment</w:t>
      </w:r>
      <w:r w:rsidR="006B4A93" w:rsidRPr="00686357">
        <w:rPr>
          <w:rFonts w:ascii="Times New Roman" w:hAnsi="Times New Roman" w:cs="Times New Roman"/>
        </w:rPr>
        <w:t xml:space="preserve"> in the year 2012-2013</w:t>
      </w:r>
      <w:r w:rsidR="00DA1EF9" w:rsidRPr="00686357">
        <w:rPr>
          <w:rFonts w:ascii="Times New Roman" w:hAnsi="Times New Roman" w:cs="Times New Roman"/>
        </w:rPr>
        <w:t xml:space="preserve">, </w:t>
      </w:r>
      <w:r w:rsidR="002C7315" w:rsidRPr="00686357">
        <w:rPr>
          <w:rFonts w:ascii="Times New Roman" w:hAnsi="Times New Roman" w:cs="Times New Roman"/>
        </w:rPr>
        <w:t xml:space="preserve">even then </w:t>
      </w:r>
      <w:r w:rsidR="00DA1EF9" w:rsidRPr="00686357">
        <w:rPr>
          <w:rFonts w:ascii="Times New Roman" w:hAnsi="Times New Roman" w:cs="Times New Roman"/>
        </w:rPr>
        <w:t>it was apparent from the industry evidence that Indian investments continue</w:t>
      </w:r>
      <w:r w:rsidR="002C01FD" w:rsidRPr="00686357">
        <w:rPr>
          <w:rFonts w:ascii="Times New Roman" w:hAnsi="Times New Roman" w:cs="Times New Roman"/>
        </w:rPr>
        <w:t>d</w:t>
      </w:r>
      <w:r w:rsidR="00DA1EF9" w:rsidRPr="00686357">
        <w:rPr>
          <w:rFonts w:ascii="Times New Roman" w:hAnsi="Times New Roman" w:cs="Times New Roman"/>
        </w:rPr>
        <w:t xml:space="preserve"> to scale up in </w:t>
      </w:r>
      <w:r w:rsidR="002C01FD" w:rsidRPr="00686357">
        <w:rPr>
          <w:rFonts w:ascii="Times New Roman" w:hAnsi="Times New Roman" w:cs="Times New Roman"/>
        </w:rPr>
        <w:t xml:space="preserve">the </w:t>
      </w:r>
      <w:r w:rsidR="00DA1EF9" w:rsidRPr="00686357">
        <w:rPr>
          <w:rFonts w:ascii="Times New Roman" w:hAnsi="Times New Roman" w:cs="Times New Roman"/>
        </w:rPr>
        <w:t>same period</w:t>
      </w:r>
      <w:r w:rsidR="00D6160D" w:rsidRPr="00686357">
        <w:rPr>
          <w:rFonts w:ascii="Times New Roman" w:hAnsi="Times New Roman" w:cs="Times New Roman"/>
        </w:rPr>
        <w:t>.</w:t>
      </w:r>
      <w:r w:rsidR="00791149" w:rsidRPr="00686357">
        <w:rPr>
          <w:rFonts w:ascii="Times New Roman" w:hAnsi="Times New Roman" w:cs="Times New Roman"/>
        </w:rPr>
        <w:t xml:space="preserve"> </w:t>
      </w:r>
    </w:p>
    <w:p w:rsidR="00DE6030" w:rsidRPr="00686357" w:rsidRDefault="00DE6030" w:rsidP="00503CD1">
      <w:pPr>
        <w:autoSpaceDE w:val="0"/>
        <w:autoSpaceDN w:val="0"/>
        <w:adjustRightInd w:val="0"/>
        <w:spacing w:after="0" w:line="480" w:lineRule="auto"/>
        <w:jc w:val="both"/>
        <w:rPr>
          <w:rFonts w:ascii="Times New Roman" w:hAnsi="Times New Roman" w:cs="Times New Roman"/>
        </w:rPr>
      </w:pPr>
    </w:p>
    <w:p w:rsidR="00354094" w:rsidRPr="00686357" w:rsidRDefault="00354094" w:rsidP="00503CD1">
      <w:pPr>
        <w:autoSpaceDE w:val="0"/>
        <w:autoSpaceDN w:val="0"/>
        <w:adjustRightInd w:val="0"/>
        <w:spacing w:after="0" w:line="480" w:lineRule="auto"/>
        <w:jc w:val="both"/>
        <w:rPr>
          <w:rFonts w:ascii="Times New Roman" w:hAnsi="Times New Roman" w:cs="Times New Roman"/>
        </w:rPr>
      </w:pPr>
      <w:r w:rsidRPr="00686357">
        <w:rPr>
          <w:rFonts w:ascii="Times New Roman" w:hAnsi="Times New Roman" w:cs="Times New Roman"/>
        </w:rPr>
        <w:t>Indian investment</w:t>
      </w:r>
      <w:r w:rsidR="00DA0023" w:rsidRPr="00686357">
        <w:rPr>
          <w:rFonts w:ascii="Times New Roman" w:hAnsi="Times New Roman" w:cs="Times New Roman"/>
        </w:rPr>
        <w:t>s</w:t>
      </w:r>
      <w:r w:rsidRPr="00686357">
        <w:rPr>
          <w:rFonts w:ascii="Times New Roman" w:hAnsi="Times New Roman" w:cs="Times New Roman"/>
        </w:rPr>
        <w:t xml:space="preserve"> in Germany is </w:t>
      </w:r>
      <w:r w:rsidR="001C78A4" w:rsidRPr="00686357">
        <w:rPr>
          <w:rFonts w:ascii="Times New Roman" w:hAnsi="Times New Roman" w:cs="Times New Roman"/>
        </w:rPr>
        <w:t xml:space="preserve">not a new trend, </w:t>
      </w:r>
      <w:r w:rsidRPr="00686357">
        <w:rPr>
          <w:rFonts w:ascii="Times New Roman" w:hAnsi="Times New Roman" w:cs="Times New Roman"/>
        </w:rPr>
        <w:t>over the past decade, major German companies</w:t>
      </w:r>
      <w:r w:rsidR="00DA0023" w:rsidRPr="00686357">
        <w:rPr>
          <w:rFonts w:ascii="Times New Roman" w:hAnsi="Times New Roman" w:cs="Times New Roman"/>
        </w:rPr>
        <w:t xml:space="preserve"> </w:t>
      </w:r>
      <w:r w:rsidRPr="00686357">
        <w:rPr>
          <w:rFonts w:ascii="Times New Roman" w:hAnsi="Times New Roman" w:cs="Times New Roman"/>
        </w:rPr>
        <w:t xml:space="preserve">were frequently acquired by Indian </w:t>
      </w:r>
      <w:r w:rsidR="00454925" w:rsidRPr="00686357">
        <w:rPr>
          <w:rFonts w:ascii="Times New Roman" w:hAnsi="Times New Roman" w:cs="Times New Roman"/>
        </w:rPr>
        <w:t>investors</w:t>
      </w:r>
      <w:r w:rsidRPr="00686357">
        <w:rPr>
          <w:rFonts w:ascii="Times New Roman" w:hAnsi="Times New Roman" w:cs="Times New Roman"/>
        </w:rPr>
        <w:t xml:space="preserve">. </w:t>
      </w:r>
      <w:r w:rsidR="00E54DC9" w:rsidRPr="00686357">
        <w:rPr>
          <w:rFonts w:ascii="Times New Roman" w:hAnsi="Times New Roman" w:cs="Times New Roman"/>
        </w:rPr>
        <w:t xml:space="preserve">While Germany is not among the top destinations of Indian OFDI, it still plays a significant role in terms of cross-border activities by Indian firms. One of the largest cross-border activities in Germany by an Indian firm was the acquisition of Germany’s REpower </w:t>
      </w:r>
      <w:r w:rsidR="00B763FC" w:rsidRPr="00686357">
        <w:rPr>
          <w:rFonts w:ascii="Times New Roman" w:hAnsi="Times New Roman" w:cs="Times New Roman"/>
        </w:rPr>
        <w:t xml:space="preserve">Systems SE </w:t>
      </w:r>
      <w:r w:rsidR="003A06AB" w:rsidRPr="00686357">
        <w:rPr>
          <w:rFonts w:ascii="Times New Roman" w:hAnsi="Times New Roman" w:cs="Times New Roman"/>
        </w:rPr>
        <w:t>(now Senvion SE)</w:t>
      </w:r>
      <w:r w:rsidR="00B763FC" w:rsidRPr="00686357">
        <w:rPr>
          <w:rFonts w:ascii="Times New Roman" w:hAnsi="Times New Roman" w:cs="Times New Roman"/>
        </w:rPr>
        <w:t>, world’s fifth largest wind turbine manufacturer</w:t>
      </w:r>
      <w:r w:rsidR="003A06AB" w:rsidRPr="00686357">
        <w:rPr>
          <w:rFonts w:ascii="Times New Roman" w:hAnsi="Times New Roman" w:cs="Times New Roman"/>
        </w:rPr>
        <w:t xml:space="preserve"> </w:t>
      </w:r>
      <w:r w:rsidR="00C05A65" w:rsidRPr="00686357">
        <w:rPr>
          <w:rFonts w:ascii="Times New Roman" w:hAnsi="Times New Roman" w:cs="Times New Roman"/>
        </w:rPr>
        <w:t xml:space="preserve">by Suzlon </w:t>
      </w:r>
      <w:r w:rsidR="00B763FC" w:rsidRPr="00686357">
        <w:rPr>
          <w:rFonts w:ascii="Times New Roman" w:hAnsi="Times New Roman" w:cs="Times New Roman"/>
        </w:rPr>
        <w:t>Group</w:t>
      </w:r>
      <w:r w:rsidR="00C05A65" w:rsidRPr="00686357">
        <w:rPr>
          <w:rFonts w:ascii="Times New Roman" w:hAnsi="Times New Roman" w:cs="Times New Roman"/>
        </w:rPr>
        <w:t xml:space="preserve"> </w:t>
      </w:r>
      <w:r w:rsidR="00E54DC9" w:rsidRPr="00686357">
        <w:rPr>
          <w:rFonts w:ascii="Times New Roman" w:hAnsi="Times New Roman" w:cs="Times New Roman"/>
        </w:rPr>
        <w:t xml:space="preserve">for US$ 1.7 billion. </w:t>
      </w:r>
      <w:r w:rsidRPr="00686357">
        <w:rPr>
          <w:rFonts w:ascii="Times New Roman" w:hAnsi="Times New Roman" w:cs="Times New Roman"/>
        </w:rPr>
        <w:t xml:space="preserve">Transactions </w:t>
      </w:r>
      <w:r w:rsidR="00E54DC9" w:rsidRPr="00686357">
        <w:rPr>
          <w:rFonts w:ascii="Times New Roman" w:hAnsi="Times New Roman" w:cs="Times New Roman"/>
        </w:rPr>
        <w:t xml:space="preserve">such as this and others by Indian firms </w:t>
      </w:r>
      <w:r w:rsidRPr="00686357">
        <w:rPr>
          <w:rFonts w:ascii="Times New Roman" w:hAnsi="Times New Roman" w:cs="Times New Roman"/>
        </w:rPr>
        <w:t>established India as a significant investor in Germany</w:t>
      </w:r>
      <w:r w:rsidR="00E54DC9" w:rsidRPr="00686357">
        <w:rPr>
          <w:rFonts w:ascii="Times New Roman" w:hAnsi="Times New Roman" w:cs="Times New Roman"/>
        </w:rPr>
        <w:t xml:space="preserve">. </w:t>
      </w:r>
      <w:r w:rsidR="00BA08FB">
        <w:rPr>
          <w:rFonts w:ascii="Times New Roman" w:hAnsi="Times New Roman" w:cs="Times New Roman"/>
        </w:rPr>
        <w:t xml:space="preserve">By 2010, </w:t>
      </w:r>
      <w:r w:rsidR="00E54DC9" w:rsidRPr="00686357">
        <w:rPr>
          <w:rFonts w:ascii="Times New Roman" w:hAnsi="Times New Roman" w:cs="Times New Roman"/>
        </w:rPr>
        <w:t xml:space="preserve">India’s OFDI stock in Germany was € 4 billion, and the number of firms operating in Germany </w:t>
      </w:r>
      <w:r w:rsidR="00F83D24">
        <w:rPr>
          <w:rFonts w:ascii="Times New Roman" w:hAnsi="Times New Roman" w:cs="Times New Roman"/>
        </w:rPr>
        <w:t>was</w:t>
      </w:r>
      <w:r w:rsidR="00E54DC9" w:rsidRPr="00686357">
        <w:rPr>
          <w:rFonts w:ascii="Times New Roman" w:hAnsi="Times New Roman" w:cs="Times New Roman"/>
        </w:rPr>
        <w:t xml:space="preserve"> 134 and the number of subsidiaries 190 (Tiwari </w:t>
      </w:r>
      <w:r w:rsidR="0027736F">
        <w:rPr>
          <w:rFonts w:ascii="Times New Roman" w:hAnsi="Times New Roman" w:cs="Times New Roman"/>
        </w:rPr>
        <w:t>&amp;</w:t>
      </w:r>
      <w:r w:rsidR="00E54DC9" w:rsidRPr="00686357">
        <w:rPr>
          <w:rFonts w:ascii="Times New Roman" w:hAnsi="Times New Roman" w:cs="Times New Roman"/>
        </w:rPr>
        <w:t xml:space="preserve"> Herstatt, 2010). </w:t>
      </w:r>
    </w:p>
    <w:p w:rsidR="00EE1845" w:rsidRPr="00686357" w:rsidRDefault="00EE1845" w:rsidP="00503CD1">
      <w:pPr>
        <w:autoSpaceDE w:val="0"/>
        <w:autoSpaceDN w:val="0"/>
        <w:adjustRightInd w:val="0"/>
        <w:spacing w:after="0" w:line="480" w:lineRule="auto"/>
        <w:jc w:val="both"/>
        <w:rPr>
          <w:rFonts w:ascii="Times New Roman" w:hAnsi="Times New Roman" w:cs="Times New Roman"/>
        </w:rPr>
      </w:pPr>
    </w:p>
    <w:p w:rsidR="003A06AB" w:rsidRDefault="00EE1845" w:rsidP="00503CD1">
      <w:pPr>
        <w:autoSpaceDE w:val="0"/>
        <w:autoSpaceDN w:val="0"/>
        <w:adjustRightInd w:val="0"/>
        <w:spacing w:after="0" w:line="480" w:lineRule="auto"/>
        <w:jc w:val="both"/>
        <w:rPr>
          <w:rFonts w:ascii="Times New Roman" w:hAnsi="Times New Roman" w:cs="Times New Roman"/>
        </w:rPr>
      </w:pPr>
      <w:r w:rsidRPr="00686357">
        <w:rPr>
          <w:rFonts w:ascii="Times New Roman" w:hAnsi="Times New Roman" w:cs="Times New Roman"/>
        </w:rPr>
        <w:t xml:space="preserve">Despite the economic </w:t>
      </w:r>
      <w:r w:rsidR="00513021" w:rsidRPr="00686357">
        <w:rPr>
          <w:rFonts w:ascii="Times New Roman" w:hAnsi="Times New Roman" w:cs="Times New Roman"/>
        </w:rPr>
        <w:t>slowdown</w:t>
      </w:r>
      <w:r w:rsidRPr="00686357">
        <w:rPr>
          <w:rFonts w:ascii="Times New Roman" w:hAnsi="Times New Roman" w:cs="Times New Roman"/>
        </w:rPr>
        <w:t xml:space="preserve"> elsewhere in the EU region</w:t>
      </w:r>
      <w:r w:rsidR="001C78A4" w:rsidRPr="00686357">
        <w:rPr>
          <w:rFonts w:ascii="Times New Roman" w:hAnsi="Times New Roman" w:cs="Times New Roman"/>
        </w:rPr>
        <w:t xml:space="preserve"> in 2011-2012</w:t>
      </w:r>
      <w:r w:rsidRPr="00686357">
        <w:rPr>
          <w:rFonts w:ascii="Times New Roman" w:hAnsi="Times New Roman" w:cs="Times New Roman"/>
        </w:rPr>
        <w:t xml:space="preserve">, Indian firms continued to invest heavily in Germany. Apart from the acquisitions by the Indian IT industry in Germany as detailed in the previous sections, Indian manufacturing sector also actively scaled up its </w:t>
      </w:r>
      <w:r w:rsidR="00A104FC" w:rsidRPr="00686357">
        <w:rPr>
          <w:rFonts w:ascii="Times New Roman" w:hAnsi="Times New Roman" w:cs="Times New Roman"/>
        </w:rPr>
        <w:t>investments</w:t>
      </w:r>
      <w:r w:rsidRPr="00686357">
        <w:rPr>
          <w:rFonts w:ascii="Times New Roman" w:hAnsi="Times New Roman" w:cs="Times New Roman"/>
        </w:rPr>
        <w:t xml:space="preserve"> in the country. </w:t>
      </w:r>
      <w:r w:rsidR="00452CBC">
        <w:rPr>
          <w:rFonts w:ascii="Times New Roman" w:hAnsi="Times New Roman" w:cs="Times New Roman"/>
        </w:rPr>
        <w:t xml:space="preserve">Table 5 shows some of the major acquisitions in Germany by the Indian firms. Additionally, some other </w:t>
      </w:r>
      <w:r w:rsidR="00452CBC">
        <w:rPr>
          <w:rFonts w:ascii="Times New Roman" w:hAnsi="Times New Roman" w:cs="Times New Roman"/>
        </w:rPr>
        <w:lastRenderedPageBreak/>
        <w:t xml:space="preserve">prominent examples are </w:t>
      </w:r>
      <w:r w:rsidRPr="00686357">
        <w:rPr>
          <w:rFonts w:ascii="Times New Roman" w:hAnsi="Times New Roman" w:cs="Times New Roman"/>
        </w:rPr>
        <w:t xml:space="preserve">the acquisition of Germany’s Rutgers Group, a leading manufacturer of chemical raw materials by Rain Commodities for € 702 million; PCM Groups’ acquisition of Railway equipment manufacturer Rail.One GmbH for € 36 million; </w:t>
      </w:r>
      <w:r w:rsidR="00A104FC" w:rsidRPr="00686357">
        <w:rPr>
          <w:rFonts w:ascii="Times New Roman" w:hAnsi="Times New Roman" w:cs="Times New Roman"/>
        </w:rPr>
        <w:t>Amtek Auto’s acquisition of German engineering and design firm Neumayer Tekfor Holding for an undisclosed amount</w:t>
      </w:r>
      <w:r w:rsidR="00A66D62" w:rsidRPr="00686357">
        <w:rPr>
          <w:rFonts w:ascii="Times New Roman" w:hAnsi="Times New Roman" w:cs="Times New Roman"/>
        </w:rPr>
        <w:t xml:space="preserve"> and </w:t>
      </w:r>
      <w:r w:rsidR="00AC4FF2" w:rsidRPr="00686357">
        <w:rPr>
          <w:rFonts w:ascii="Times New Roman" w:hAnsi="Times New Roman" w:cs="Times New Roman"/>
        </w:rPr>
        <w:t>Peguform, a German auto component company with a turnover of US$1.37 billion</w:t>
      </w:r>
      <w:r w:rsidR="004E4075" w:rsidRPr="00686357">
        <w:rPr>
          <w:rFonts w:ascii="Times New Roman" w:hAnsi="Times New Roman" w:cs="Times New Roman"/>
        </w:rPr>
        <w:t>,</w:t>
      </w:r>
      <w:r w:rsidR="00A66D62" w:rsidRPr="00686357">
        <w:rPr>
          <w:rFonts w:ascii="Times New Roman" w:hAnsi="Times New Roman" w:cs="Times New Roman"/>
        </w:rPr>
        <w:t xml:space="preserve"> acquired by Motherson Sumi Systems Ltd. </w:t>
      </w:r>
      <w:r w:rsidR="00454925" w:rsidRPr="00686357">
        <w:rPr>
          <w:rFonts w:ascii="Times New Roman" w:hAnsi="Times New Roman" w:cs="Times New Roman"/>
        </w:rPr>
        <w:t>In first half of 2012, 11 percent of India’s overseas investments involved Germany, an increase of an average 6 percent from 2011 (</w:t>
      </w:r>
      <w:r w:rsidR="00A224FC" w:rsidRPr="00686357">
        <w:rPr>
          <w:rFonts w:ascii="Times New Roman" w:hAnsi="Times New Roman" w:cs="Times New Roman"/>
        </w:rPr>
        <w:t xml:space="preserve">Hoffmann-Theinert </w:t>
      </w:r>
      <w:r w:rsidR="00A224FC">
        <w:rPr>
          <w:rFonts w:ascii="Times New Roman" w:hAnsi="Times New Roman" w:cs="Times New Roman"/>
        </w:rPr>
        <w:t>&amp;</w:t>
      </w:r>
      <w:r w:rsidR="00A224FC" w:rsidRPr="00686357">
        <w:rPr>
          <w:rFonts w:ascii="Times New Roman" w:hAnsi="Times New Roman" w:cs="Times New Roman"/>
        </w:rPr>
        <w:t>Wright, 2013</w:t>
      </w:r>
      <w:r w:rsidR="00454925" w:rsidRPr="00686357">
        <w:rPr>
          <w:rFonts w:ascii="Times New Roman" w:hAnsi="Times New Roman" w:cs="Times New Roman"/>
        </w:rPr>
        <w:t xml:space="preserve">). </w:t>
      </w:r>
    </w:p>
    <w:tbl>
      <w:tblPr>
        <w:tblW w:w="9431" w:type="dxa"/>
        <w:tblCellMar>
          <w:left w:w="0" w:type="dxa"/>
          <w:right w:w="0" w:type="dxa"/>
        </w:tblCellMar>
        <w:tblLook w:val="0420" w:firstRow="1" w:lastRow="0" w:firstColumn="0" w:lastColumn="0" w:noHBand="0" w:noVBand="1"/>
      </w:tblPr>
      <w:tblGrid>
        <w:gridCol w:w="710"/>
        <w:gridCol w:w="1986"/>
        <w:gridCol w:w="2551"/>
        <w:gridCol w:w="1985"/>
        <w:gridCol w:w="2199"/>
      </w:tblGrid>
      <w:tr w:rsidR="00F37D1C" w:rsidRPr="00686357" w:rsidTr="00F37D1C">
        <w:trPr>
          <w:trHeight w:val="859"/>
        </w:trPr>
        <w:tc>
          <w:tcPr>
            <w:tcW w:w="710"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jc w:val="center"/>
              <w:rPr>
                <w:rFonts w:ascii="Times New Roman" w:hAnsi="Times New Roman" w:cs="Times New Roman"/>
                <w:color w:val="FFFFFF" w:themeColor="background1"/>
              </w:rPr>
            </w:pPr>
            <w:r w:rsidRPr="00686357">
              <w:rPr>
                <w:rFonts w:ascii="Times New Roman" w:hAnsi="Times New Roman" w:cs="Times New Roman"/>
                <w:b/>
                <w:bCs/>
                <w:color w:val="FFFFFF" w:themeColor="background1"/>
              </w:rPr>
              <w:t>No.</w:t>
            </w:r>
          </w:p>
        </w:tc>
        <w:tc>
          <w:tcPr>
            <w:tcW w:w="1986"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jc w:val="center"/>
              <w:rPr>
                <w:rFonts w:ascii="Times New Roman" w:hAnsi="Times New Roman" w:cs="Times New Roman"/>
                <w:color w:val="FFFFFF" w:themeColor="background1"/>
              </w:rPr>
            </w:pPr>
            <w:r w:rsidRPr="00686357">
              <w:rPr>
                <w:rFonts w:ascii="Times New Roman" w:hAnsi="Times New Roman" w:cs="Times New Roman"/>
                <w:b/>
                <w:bCs/>
                <w:color w:val="FFFFFF" w:themeColor="background1"/>
              </w:rPr>
              <w:t xml:space="preserve">Indian </w:t>
            </w:r>
            <w:r w:rsidR="00B178BC">
              <w:rPr>
                <w:rFonts w:ascii="Times New Roman" w:hAnsi="Times New Roman" w:cs="Times New Roman"/>
                <w:b/>
                <w:bCs/>
                <w:color w:val="FFFFFF" w:themeColor="background1"/>
              </w:rPr>
              <w:t>Firm</w:t>
            </w:r>
          </w:p>
        </w:tc>
        <w:tc>
          <w:tcPr>
            <w:tcW w:w="2551"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jc w:val="center"/>
              <w:rPr>
                <w:rFonts w:ascii="Times New Roman" w:hAnsi="Times New Roman" w:cs="Times New Roman"/>
                <w:color w:val="FFFFFF" w:themeColor="background1"/>
              </w:rPr>
            </w:pPr>
            <w:r w:rsidRPr="00686357">
              <w:rPr>
                <w:rFonts w:ascii="Times New Roman" w:hAnsi="Times New Roman" w:cs="Times New Roman"/>
                <w:b/>
                <w:bCs/>
                <w:color w:val="FFFFFF" w:themeColor="background1"/>
              </w:rPr>
              <w:t xml:space="preserve">Acquired </w:t>
            </w:r>
            <w:r>
              <w:rPr>
                <w:rFonts w:ascii="Times New Roman" w:hAnsi="Times New Roman" w:cs="Times New Roman"/>
                <w:b/>
                <w:bCs/>
                <w:color w:val="FFFFFF" w:themeColor="background1"/>
              </w:rPr>
              <w:t xml:space="preserve">German </w:t>
            </w:r>
            <w:r w:rsidRPr="00686357">
              <w:rPr>
                <w:rFonts w:ascii="Times New Roman" w:hAnsi="Times New Roman" w:cs="Times New Roman"/>
                <w:b/>
                <w:bCs/>
                <w:color w:val="FFFFFF" w:themeColor="background1"/>
              </w:rPr>
              <w:t>Entity</w:t>
            </w:r>
          </w:p>
        </w:tc>
        <w:tc>
          <w:tcPr>
            <w:tcW w:w="1985" w:type="dxa"/>
            <w:tcBorders>
              <w:top w:val="single" w:sz="8" w:space="0" w:color="FFFFFF"/>
              <w:left w:val="single" w:sz="8" w:space="0" w:color="FFFFFF"/>
              <w:bottom w:val="single" w:sz="24" w:space="0" w:color="FFFFFF"/>
              <w:right w:val="single" w:sz="8" w:space="0" w:color="FFFFFF"/>
            </w:tcBorders>
            <w:shd w:val="clear" w:color="auto" w:fill="003366"/>
          </w:tcPr>
          <w:p w:rsidR="00F37D1C" w:rsidRPr="00686357" w:rsidRDefault="008D007A" w:rsidP="00503CD1">
            <w:pPr>
              <w:autoSpaceDE w:val="0"/>
              <w:autoSpaceDN w:val="0"/>
              <w:adjustRightInd w:val="0"/>
              <w:spacing w:after="0" w:line="240" w:lineRule="auto"/>
              <w:jc w:val="center"/>
              <w:rPr>
                <w:rFonts w:ascii="Times New Roman" w:hAnsi="Times New Roman" w:cs="Times New Roman"/>
                <w:b/>
                <w:bCs/>
                <w:color w:val="FFFFFF" w:themeColor="background1"/>
                <w:lang w:val="de-DE"/>
              </w:rPr>
            </w:pPr>
            <w:r w:rsidRPr="00A81F73">
              <w:rPr>
                <w:rFonts w:ascii="Times New Roman" w:hAnsi="Times New Roman" w:cs="Times New Roman"/>
                <w:b/>
                <w:bCs/>
                <w:color w:val="FFFFFF" w:themeColor="background1"/>
              </w:rPr>
              <w:t>Sector</w:t>
            </w:r>
          </w:p>
        </w:tc>
        <w:tc>
          <w:tcPr>
            <w:tcW w:w="2199"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F37D1C" w:rsidRPr="0060522A" w:rsidRDefault="00F37D1C" w:rsidP="00503CD1">
            <w:pPr>
              <w:autoSpaceDE w:val="0"/>
              <w:autoSpaceDN w:val="0"/>
              <w:adjustRightInd w:val="0"/>
              <w:spacing w:after="0" w:line="240" w:lineRule="auto"/>
              <w:jc w:val="center"/>
              <w:rPr>
                <w:rFonts w:ascii="Times New Roman" w:hAnsi="Times New Roman" w:cs="Times New Roman"/>
                <w:b/>
                <w:bCs/>
                <w:color w:val="FFFFFF" w:themeColor="background1"/>
              </w:rPr>
            </w:pPr>
            <w:r w:rsidRPr="0060522A">
              <w:rPr>
                <w:rFonts w:ascii="Times New Roman" w:hAnsi="Times New Roman" w:cs="Times New Roman"/>
                <w:b/>
                <w:bCs/>
                <w:color w:val="FFFFFF" w:themeColor="background1"/>
              </w:rPr>
              <w:t>Deal Amount                    (billion)</w:t>
            </w:r>
          </w:p>
        </w:tc>
      </w:tr>
      <w:tr w:rsidR="00F37D1C" w:rsidRPr="00686357" w:rsidTr="00F37D1C">
        <w:trPr>
          <w:trHeight w:val="494"/>
        </w:trPr>
        <w:tc>
          <w:tcPr>
            <w:tcW w:w="710"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0522A">
              <w:rPr>
                <w:rFonts w:ascii="Times New Roman" w:hAnsi="Times New Roman" w:cs="Times New Roman"/>
                <w:color w:val="000000" w:themeColor="text1"/>
              </w:rPr>
              <w:t>1</w:t>
            </w:r>
          </w:p>
        </w:tc>
        <w:tc>
          <w:tcPr>
            <w:tcW w:w="1986"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0522A">
              <w:rPr>
                <w:rFonts w:ascii="Times New Roman" w:hAnsi="Times New Roman" w:cs="Times New Roman"/>
                <w:color w:val="000000" w:themeColor="text1"/>
              </w:rPr>
              <w:t>Suzlon Group</w:t>
            </w:r>
          </w:p>
        </w:tc>
        <w:tc>
          <w:tcPr>
            <w:tcW w:w="2551"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rPr>
              <w:t>RePower Systems SE (now Senvion SE)</w:t>
            </w:r>
          </w:p>
        </w:tc>
        <w:tc>
          <w:tcPr>
            <w:tcW w:w="1985" w:type="dxa"/>
            <w:tcBorders>
              <w:top w:val="single" w:sz="24" w:space="0" w:color="FFFFFF"/>
              <w:left w:val="single" w:sz="8" w:space="0" w:color="FFFFFF"/>
              <w:bottom w:val="single" w:sz="8" w:space="0" w:color="FFFFFF"/>
              <w:right w:val="single" w:sz="8" w:space="0" w:color="FFFFFF"/>
            </w:tcBorders>
            <w:shd w:val="clear" w:color="auto" w:fill="CBCDD3"/>
          </w:tcPr>
          <w:p w:rsidR="00F37D1C" w:rsidRPr="0060522A" w:rsidRDefault="00F37D1C" w:rsidP="00503CD1">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Renewable Energy</w:t>
            </w:r>
          </w:p>
        </w:tc>
        <w:tc>
          <w:tcPr>
            <w:tcW w:w="2199"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0522A">
              <w:rPr>
                <w:rFonts w:ascii="Times New Roman" w:hAnsi="Times New Roman" w:cs="Times New Roman"/>
                <w:color w:val="000000" w:themeColor="text1"/>
              </w:rPr>
              <w:t>US$ 1</w:t>
            </w:r>
            <w:r w:rsidR="0063578B">
              <w:rPr>
                <w:rFonts w:ascii="Times New Roman" w:hAnsi="Times New Roman" w:cs="Times New Roman"/>
                <w:color w:val="000000" w:themeColor="text1"/>
              </w:rPr>
              <w:t>,</w:t>
            </w:r>
            <w:r w:rsidRPr="0060522A">
              <w:rPr>
                <w:rFonts w:ascii="Times New Roman" w:hAnsi="Times New Roman" w:cs="Times New Roman"/>
                <w:color w:val="000000" w:themeColor="text1"/>
              </w:rPr>
              <w:t>7</w:t>
            </w:r>
          </w:p>
        </w:tc>
      </w:tr>
      <w:tr w:rsidR="00F37D1C" w:rsidRPr="00686357" w:rsidTr="00F37D1C">
        <w:trPr>
          <w:trHeight w:val="517"/>
        </w:trPr>
        <w:tc>
          <w:tcPr>
            <w:tcW w:w="71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0522A">
              <w:rPr>
                <w:rFonts w:ascii="Times New Roman" w:hAnsi="Times New Roman" w:cs="Times New Roman"/>
                <w:color w:val="000000" w:themeColor="text1"/>
              </w:rPr>
              <w:t>2</w:t>
            </w:r>
          </w:p>
        </w:tc>
        <w:tc>
          <w:tcPr>
            <w:tcW w:w="1986"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0522A">
              <w:rPr>
                <w:rFonts w:ascii="Times New Roman" w:hAnsi="Times New Roman" w:cs="Times New Roman"/>
                <w:color w:val="000000" w:themeColor="text1"/>
              </w:rPr>
              <w:t>Rain Commodities</w:t>
            </w:r>
          </w:p>
        </w:tc>
        <w:tc>
          <w:tcPr>
            <w:tcW w:w="2551"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Rutgers Group</w:t>
            </w:r>
          </w:p>
        </w:tc>
        <w:tc>
          <w:tcPr>
            <w:tcW w:w="1985" w:type="dxa"/>
            <w:tcBorders>
              <w:top w:val="single" w:sz="8" w:space="0" w:color="FFFFFF"/>
              <w:left w:val="single" w:sz="8" w:space="0" w:color="FFFFFF"/>
              <w:bottom w:val="single" w:sz="8" w:space="0" w:color="FFFFFF"/>
              <w:right w:val="single" w:sz="8" w:space="0" w:color="FFFFFF"/>
            </w:tcBorders>
            <w:shd w:val="clear" w:color="auto" w:fill="E7E8EA"/>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 Chemical</w:t>
            </w:r>
          </w:p>
        </w:tc>
        <w:tc>
          <w:tcPr>
            <w:tcW w:w="2199"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US$ 0.96</w:t>
            </w:r>
          </w:p>
        </w:tc>
      </w:tr>
      <w:tr w:rsidR="00F37D1C" w:rsidRPr="00686357" w:rsidTr="00F37D1C">
        <w:trPr>
          <w:trHeight w:val="541"/>
        </w:trPr>
        <w:tc>
          <w:tcPr>
            <w:tcW w:w="710"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lang w:val="de-DE"/>
              </w:rPr>
              <w:t>3</w:t>
            </w:r>
          </w:p>
        </w:tc>
        <w:tc>
          <w:tcPr>
            <w:tcW w:w="1986"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rPr>
              <w:t>Dr. Reddy’s Laboratories Ltd</w:t>
            </w:r>
          </w:p>
        </w:tc>
        <w:tc>
          <w:tcPr>
            <w:tcW w:w="2551"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rPr>
              <w:t xml:space="preserve">Betapharm </w:t>
            </w:r>
            <w:r w:rsidRPr="00686357">
              <w:rPr>
                <w:rFonts w:ascii="Times New Roman" w:hAnsi="Times New Roman" w:cs="Times New Roman"/>
                <w:bCs/>
              </w:rPr>
              <w:t>Arzneimittel GmbH</w:t>
            </w:r>
          </w:p>
        </w:tc>
        <w:tc>
          <w:tcPr>
            <w:tcW w:w="1985" w:type="dxa"/>
            <w:tcBorders>
              <w:top w:val="single" w:sz="8" w:space="0" w:color="FFFFFF"/>
              <w:left w:val="single" w:sz="8" w:space="0" w:color="FFFFFF"/>
              <w:bottom w:val="single" w:sz="8" w:space="0" w:color="FFFFFF"/>
              <w:right w:val="single" w:sz="8" w:space="0" w:color="FFFFFF"/>
            </w:tcBorders>
            <w:shd w:val="clear" w:color="auto" w:fill="CBCDD3"/>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Healthcare</w:t>
            </w:r>
          </w:p>
        </w:tc>
        <w:tc>
          <w:tcPr>
            <w:tcW w:w="2199"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rPr>
              <w:t>US$ 0.65</w:t>
            </w:r>
          </w:p>
        </w:tc>
      </w:tr>
      <w:tr w:rsidR="00F37D1C" w:rsidRPr="00686357" w:rsidTr="00F37D1C">
        <w:trPr>
          <w:trHeight w:val="537"/>
        </w:trPr>
        <w:tc>
          <w:tcPr>
            <w:tcW w:w="71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rPr>
              <w:t>4</w:t>
            </w:r>
          </w:p>
        </w:tc>
        <w:tc>
          <w:tcPr>
            <w:tcW w:w="1986"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rPr>
              <w:t>Mahindra &amp; Mahindra Ltd</w:t>
            </w:r>
          </w:p>
        </w:tc>
        <w:tc>
          <w:tcPr>
            <w:tcW w:w="2551"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rPr>
              <w:t>Jeco Holding AG</w:t>
            </w:r>
          </w:p>
        </w:tc>
        <w:tc>
          <w:tcPr>
            <w:tcW w:w="1985" w:type="dxa"/>
            <w:tcBorders>
              <w:top w:val="single" w:sz="8" w:space="0" w:color="FFFFFF"/>
              <w:left w:val="single" w:sz="8" w:space="0" w:color="FFFFFF"/>
              <w:bottom w:val="single" w:sz="8" w:space="0" w:color="FFFFFF"/>
              <w:right w:val="single" w:sz="8" w:space="0" w:color="FFFFFF"/>
            </w:tcBorders>
            <w:shd w:val="clear" w:color="auto" w:fill="E7E8EA"/>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Automotive</w:t>
            </w:r>
          </w:p>
        </w:tc>
        <w:tc>
          <w:tcPr>
            <w:tcW w:w="2199"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rPr>
              <w:t>US$ 0.13</w:t>
            </w:r>
          </w:p>
        </w:tc>
      </w:tr>
      <w:tr w:rsidR="00F37D1C" w:rsidRPr="00686357" w:rsidTr="00F37D1C">
        <w:trPr>
          <w:trHeight w:val="532"/>
        </w:trPr>
        <w:tc>
          <w:tcPr>
            <w:tcW w:w="710"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rPr>
              <w:t>5</w:t>
            </w:r>
          </w:p>
        </w:tc>
        <w:tc>
          <w:tcPr>
            <w:tcW w:w="1986"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rPr>
              <w:t>Shakti Auto Component</w:t>
            </w:r>
          </w:p>
        </w:tc>
        <w:tc>
          <w:tcPr>
            <w:tcW w:w="2551"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rPr>
              <w:t>Intermet Europe GmbH</w:t>
            </w:r>
          </w:p>
        </w:tc>
        <w:tc>
          <w:tcPr>
            <w:tcW w:w="1985" w:type="dxa"/>
            <w:tcBorders>
              <w:top w:val="single" w:sz="8" w:space="0" w:color="FFFFFF"/>
              <w:left w:val="single" w:sz="8" w:space="0" w:color="FFFFFF"/>
              <w:bottom w:val="single" w:sz="8" w:space="0" w:color="FFFFFF"/>
              <w:right w:val="single" w:sz="8" w:space="0" w:color="FFFFFF"/>
            </w:tcBorders>
            <w:shd w:val="clear" w:color="auto" w:fill="CBCDD3"/>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Automotive</w:t>
            </w:r>
          </w:p>
        </w:tc>
        <w:tc>
          <w:tcPr>
            <w:tcW w:w="2199"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tcPr>
          <w:p w:rsidR="00F37D1C" w:rsidRPr="00686357" w:rsidRDefault="00F37D1C" w:rsidP="00503CD1">
            <w:pPr>
              <w:autoSpaceDE w:val="0"/>
              <w:autoSpaceDN w:val="0"/>
              <w:adjustRightInd w:val="0"/>
              <w:spacing w:after="0" w:line="240" w:lineRule="auto"/>
              <w:rPr>
                <w:rFonts w:ascii="Times New Roman" w:hAnsi="Times New Roman" w:cs="Times New Roman"/>
                <w:color w:val="000000" w:themeColor="text1"/>
              </w:rPr>
            </w:pPr>
            <w:r w:rsidRPr="00686357">
              <w:rPr>
                <w:rFonts w:ascii="Times New Roman" w:hAnsi="Times New Roman" w:cs="Times New Roman"/>
                <w:color w:val="000000" w:themeColor="text1"/>
              </w:rPr>
              <w:t>US$ 0.12</w:t>
            </w:r>
          </w:p>
        </w:tc>
      </w:tr>
    </w:tbl>
    <w:p w:rsidR="00454925" w:rsidRPr="00686357" w:rsidRDefault="00454925" w:rsidP="00503CD1">
      <w:pPr>
        <w:autoSpaceDE w:val="0"/>
        <w:autoSpaceDN w:val="0"/>
        <w:adjustRightInd w:val="0"/>
        <w:spacing w:after="0" w:line="480" w:lineRule="auto"/>
        <w:jc w:val="both"/>
        <w:rPr>
          <w:rFonts w:ascii="Times New Roman" w:hAnsi="Times New Roman" w:cs="Times New Roman"/>
          <w:highlight w:val="yellow"/>
        </w:rPr>
      </w:pPr>
    </w:p>
    <w:p w:rsidR="001D56BD" w:rsidRDefault="003A06AB" w:rsidP="00503CD1">
      <w:pPr>
        <w:autoSpaceDE w:val="0"/>
        <w:autoSpaceDN w:val="0"/>
        <w:adjustRightInd w:val="0"/>
        <w:spacing w:after="0" w:line="480" w:lineRule="auto"/>
        <w:jc w:val="both"/>
        <w:rPr>
          <w:rFonts w:ascii="Times New Roman" w:hAnsi="Times New Roman" w:cs="Times New Roman"/>
        </w:rPr>
      </w:pPr>
      <w:r w:rsidRPr="00686357">
        <w:rPr>
          <w:rFonts w:ascii="Times New Roman" w:hAnsi="Times New Roman" w:cs="Times New Roman"/>
        </w:rPr>
        <w:t xml:space="preserve">Table 5. </w:t>
      </w:r>
      <w:r w:rsidR="001D56BD" w:rsidRPr="00686357">
        <w:rPr>
          <w:rFonts w:ascii="Times New Roman" w:hAnsi="Times New Roman" w:cs="Times New Roman"/>
        </w:rPr>
        <w:t xml:space="preserve">Major Indian Acquisitions in Germany </w:t>
      </w:r>
      <w:r w:rsidR="00E54540">
        <w:rPr>
          <w:rFonts w:ascii="Times New Roman" w:hAnsi="Times New Roman" w:cs="Times New Roman"/>
        </w:rPr>
        <w:t xml:space="preserve">(Source: company </w:t>
      </w:r>
      <w:r w:rsidR="00303A97">
        <w:rPr>
          <w:rFonts w:ascii="Times New Roman" w:hAnsi="Times New Roman" w:cs="Times New Roman"/>
        </w:rPr>
        <w:t>a</w:t>
      </w:r>
      <w:r w:rsidR="00E54540">
        <w:rPr>
          <w:rFonts w:ascii="Times New Roman" w:hAnsi="Times New Roman" w:cs="Times New Roman"/>
        </w:rPr>
        <w:t>nnual reports and various media reports)</w:t>
      </w:r>
    </w:p>
    <w:p w:rsidR="00A55923" w:rsidRPr="00686357" w:rsidRDefault="00A55923" w:rsidP="00503CD1">
      <w:pPr>
        <w:autoSpaceDE w:val="0"/>
        <w:autoSpaceDN w:val="0"/>
        <w:adjustRightInd w:val="0"/>
        <w:spacing w:after="0" w:line="480" w:lineRule="auto"/>
        <w:jc w:val="both"/>
        <w:rPr>
          <w:rFonts w:ascii="Times New Roman" w:hAnsi="Times New Roman" w:cs="Times New Roman"/>
        </w:rPr>
      </w:pPr>
    </w:p>
    <w:p w:rsidR="00A55923" w:rsidRDefault="006F1445" w:rsidP="00503CD1">
      <w:pPr>
        <w:autoSpaceDE w:val="0"/>
        <w:autoSpaceDN w:val="0"/>
        <w:adjustRightInd w:val="0"/>
        <w:spacing w:after="0" w:line="480" w:lineRule="auto"/>
        <w:jc w:val="both"/>
        <w:rPr>
          <w:rFonts w:ascii="Times New Roman" w:hAnsi="Times New Roman" w:cs="Times New Roman"/>
        </w:rPr>
      </w:pPr>
      <w:r w:rsidRPr="00686357">
        <w:rPr>
          <w:rFonts w:ascii="Times New Roman" w:hAnsi="Times New Roman" w:cs="Times New Roman"/>
        </w:rPr>
        <w:t xml:space="preserve">Owing to increased investments in Germany in the past </w:t>
      </w:r>
      <w:r w:rsidR="00951E57">
        <w:rPr>
          <w:rFonts w:ascii="Times New Roman" w:hAnsi="Times New Roman" w:cs="Times New Roman"/>
        </w:rPr>
        <w:t>few</w:t>
      </w:r>
      <w:r w:rsidRPr="00686357">
        <w:rPr>
          <w:rFonts w:ascii="Times New Roman" w:hAnsi="Times New Roman" w:cs="Times New Roman"/>
        </w:rPr>
        <w:t xml:space="preserve"> years the number of Indian firms operating in Germany has increased substantially and every fourth acquisition is </w:t>
      </w:r>
      <w:r w:rsidR="00395A59">
        <w:rPr>
          <w:rFonts w:ascii="Times New Roman" w:hAnsi="Times New Roman" w:cs="Times New Roman"/>
        </w:rPr>
        <w:t xml:space="preserve">reported to be </w:t>
      </w:r>
      <w:r w:rsidRPr="00686357">
        <w:rPr>
          <w:rFonts w:ascii="Times New Roman" w:hAnsi="Times New Roman" w:cs="Times New Roman"/>
        </w:rPr>
        <w:t>by an Indian firm</w:t>
      </w:r>
      <w:r>
        <w:rPr>
          <w:rFonts w:ascii="Times New Roman" w:hAnsi="Times New Roman" w:cs="Times New Roman"/>
        </w:rPr>
        <w:t xml:space="preserve"> (</w:t>
      </w:r>
      <w:r w:rsidR="007747EC" w:rsidRPr="00101F20">
        <w:rPr>
          <w:rFonts w:ascii="Times New Roman" w:hAnsi="Times New Roman" w:cs="Times New Roman"/>
        </w:rPr>
        <w:t>Charlie</w:t>
      </w:r>
      <w:r>
        <w:rPr>
          <w:rFonts w:ascii="Times New Roman" w:hAnsi="Times New Roman" w:cs="Times New Roman"/>
        </w:rPr>
        <w:t>, 2012)</w:t>
      </w:r>
      <w:r w:rsidRPr="00686357">
        <w:rPr>
          <w:rFonts w:ascii="Times New Roman" w:hAnsi="Times New Roman" w:cs="Times New Roman"/>
        </w:rPr>
        <w:t>. Currently there are approximately 280 Indian firms, employing about 2</w:t>
      </w:r>
      <w:r w:rsidR="00C15CE2">
        <w:rPr>
          <w:rFonts w:ascii="Times New Roman" w:hAnsi="Times New Roman" w:cs="Times New Roman"/>
        </w:rPr>
        <w:t>6</w:t>
      </w:r>
      <w:r w:rsidRPr="00686357">
        <w:rPr>
          <w:rFonts w:ascii="Times New Roman" w:hAnsi="Times New Roman" w:cs="Times New Roman"/>
        </w:rPr>
        <w:t>,000 people, active in Germany</w:t>
      </w:r>
      <w:r>
        <w:rPr>
          <w:rFonts w:ascii="Times New Roman" w:hAnsi="Times New Roman" w:cs="Times New Roman"/>
        </w:rPr>
        <w:t xml:space="preserve"> (Tiwari, 2013)</w:t>
      </w:r>
      <w:r w:rsidRPr="00686357">
        <w:rPr>
          <w:rFonts w:ascii="Times New Roman" w:hAnsi="Times New Roman" w:cs="Times New Roman"/>
        </w:rPr>
        <w:t>.</w:t>
      </w:r>
      <w:r>
        <w:rPr>
          <w:rFonts w:ascii="Times New Roman" w:hAnsi="Times New Roman" w:cs="Times New Roman"/>
        </w:rPr>
        <w:t xml:space="preserve"> </w:t>
      </w:r>
      <w:r w:rsidRPr="00B52FCA">
        <w:rPr>
          <w:rFonts w:ascii="Times New Roman" w:hAnsi="Times New Roman" w:cs="Times New Roman"/>
        </w:rPr>
        <w:t xml:space="preserve">Although Indian </w:t>
      </w:r>
      <w:r>
        <w:rPr>
          <w:rFonts w:ascii="Times New Roman" w:hAnsi="Times New Roman" w:cs="Times New Roman"/>
        </w:rPr>
        <w:t>firms</w:t>
      </w:r>
      <w:r w:rsidRPr="00B52FCA">
        <w:rPr>
          <w:rFonts w:ascii="Times New Roman" w:hAnsi="Times New Roman" w:cs="Times New Roman"/>
        </w:rPr>
        <w:t xml:space="preserve"> are spread throughout Germany, they are mainly </w:t>
      </w:r>
      <w:r>
        <w:rPr>
          <w:rFonts w:ascii="Times New Roman" w:hAnsi="Times New Roman" w:cs="Times New Roman"/>
        </w:rPr>
        <w:t>focused</w:t>
      </w:r>
      <w:r w:rsidRPr="00B52FCA">
        <w:rPr>
          <w:rFonts w:ascii="Times New Roman" w:hAnsi="Times New Roman" w:cs="Times New Roman"/>
        </w:rPr>
        <w:t xml:space="preserve"> in the states of North Rhine-Westphalia, Hessen, Bavaria and Baden-Württemberg</w:t>
      </w:r>
      <w:r>
        <w:rPr>
          <w:rFonts w:ascii="Times New Roman" w:hAnsi="Times New Roman" w:cs="Times New Roman"/>
        </w:rPr>
        <w:t xml:space="preserve"> (FICCI, 2012)</w:t>
      </w:r>
      <w:r w:rsidRPr="00B52FCA">
        <w:rPr>
          <w:rFonts w:ascii="Times New Roman" w:hAnsi="Times New Roman" w:cs="Times New Roman"/>
        </w:rPr>
        <w:t>.</w:t>
      </w:r>
      <w:r>
        <w:rPr>
          <w:rFonts w:ascii="Times New Roman" w:hAnsi="Times New Roman" w:cs="Times New Roman"/>
        </w:rPr>
        <w:t xml:space="preserve"> </w:t>
      </w:r>
      <w:r w:rsidR="00A55923">
        <w:rPr>
          <w:rFonts w:ascii="Times New Roman" w:hAnsi="Times New Roman" w:cs="Times New Roman"/>
        </w:rPr>
        <w:t xml:space="preserve"> Table 6 shows 20 largest Indian employers in Germany along with the sector and region they are active in. </w:t>
      </w:r>
    </w:p>
    <w:tbl>
      <w:tblPr>
        <w:tblW w:w="0" w:type="auto"/>
        <w:tblCellMar>
          <w:left w:w="0" w:type="dxa"/>
          <w:right w:w="0" w:type="dxa"/>
        </w:tblCellMar>
        <w:tblLook w:val="0420" w:firstRow="1" w:lastRow="0" w:firstColumn="0" w:lastColumn="0" w:noHBand="0" w:noVBand="1"/>
      </w:tblPr>
      <w:tblGrid>
        <w:gridCol w:w="612"/>
        <w:gridCol w:w="3927"/>
        <w:gridCol w:w="2551"/>
        <w:gridCol w:w="1134"/>
        <w:gridCol w:w="1470"/>
      </w:tblGrid>
      <w:tr w:rsidR="00784769" w:rsidRPr="00D0670F" w:rsidTr="00D619CD">
        <w:trPr>
          <w:trHeight w:val="227"/>
        </w:trPr>
        <w:tc>
          <w:tcPr>
            <w:tcW w:w="0" w:type="auto"/>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784769" w:rsidRPr="00D0670F" w:rsidRDefault="00784769" w:rsidP="00503CD1">
            <w:pPr>
              <w:autoSpaceDE w:val="0"/>
              <w:autoSpaceDN w:val="0"/>
              <w:adjustRightInd w:val="0"/>
              <w:spacing w:after="0" w:line="480" w:lineRule="auto"/>
              <w:jc w:val="center"/>
              <w:rPr>
                <w:rFonts w:ascii="Times New Roman" w:hAnsi="Times New Roman" w:cs="Times New Roman"/>
              </w:rPr>
            </w:pPr>
            <w:r w:rsidRPr="00D0670F">
              <w:rPr>
                <w:rFonts w:ascii="Times New Roman" w:hAnsi="Times New Roman" w:cs="Times New Roman"/>
              </w:rPr>
              <w:lastRenderedPageBreak/>
              <w:t>No.</w:t>
            </w:r>
          </w:p>
        </w:tc>
        <w:tc>
          <w:tcPr>
            <w:tcW w:w="3927"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784769" w:rsidRPr="00D0670F" w:rsidRDefault="00784769" w:rsidP="00503CD1">
            <w:pPr>
              <w:autoSpaceDE w:val="0"/>
              <w:autoSpaceDN w:val="0"/>
              <w:adjustRightInd w:val="0"/>
              <w:spacing w:after="0" w:line="480" w:lineRule="auto"/>
              <w:jc w:val="center"/>
              <w:rPr>
                <w:rFonts w:ascii="Times New Roman" w:hAnsi="Times New Roman" w:cs="Times New Roman"/>
              </w:rPr>
            </w:pPr>
            <w:r w:rsidRPr="00D0670F">
              <w:rPr>
                <w:rFonts w:ascii="Times New Roman" w:hAnsi="Times New Roman" w:cs="Times New Roman"/>
              </w:rPr>
              <w:t>Indian German Entity</w:t>
            </w:r>
          </w:p>
        </w:tc>
        <w:tc>
          <w:tcPr>
            <w:tcW w:w="2551"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784769" w:rsidRPr="00D0670F" w:rsidRDefault="00784769" w:rsidP="00503CD1">
            <w:pPr>
              <w:autoSpaceDE w:val="0"/>
              <w:autoSpaceDN w:val="0"/>
              <w:adjustRightInd w:val="0"/>
              <w:spacing w:after="0" w:line="480" w:lineRule="auto"/>
              <w:jc w:val="center"/>
              <w:rPr>
                <w:rFonts w:ascii="Times New Roman" w:hAnsi="Times New Roman" w:cs="Times New Roman"/>
              </w:rPr>
            </w:pPr>
            <w:r w:rsidRPr="00D0670F">
              <w:rPr>
                <w:rFonts w:ascii="Times New Roman" w:hAnsi="Times New Roman" w:cs="Times New Roman"/>
              </w:rPr>
              <w:t>Number of Employees</w:t>
            </w:r>
          </w:p>
        </w:tc>
        <w:tc>
          <w:tcPr>
            <w:tcW w:w="1134" w:type="dxa"/>
            <w:tcBorders>
              <w:top w:val="single" w:sz="8" w:space="0" w:color="FFFFFF"/>
              <w:left w:val="single" w:sz="8" w:space="0" w:color="FFFFFF"/>
              <w:bottom w:val="single" w:sz="24" w:space="0" w:color="FFFFFF"/>
              <w:right w:val="single" w:sz="8" w:space="0" w:color="FFFFFF"/>
            </w:tcBorders>
            <w:shd w:val="clear" w:color="auto" w:fill="003366"/>
          </w:tcPr>
          <w:p w:rsidR="00784769" w:rsidRPr="00D0670F" w:rsidRDefault="00784769" w:rsidP="00503CD1">
            <w:pPr>
              <w:autoSpaceDE w:val="0"/>
              <w:autoSpaceDN w:val="0"/>
              <w:adjustRightInd w:val="0"/>
              <w:spacing w:after="0" w:line="480" w:lineRule="auto"/>
              <w:jc w:val="center"/>
              <w:rPr>
                <w:rFonts w:ascii="Times New Roman" w:hAnsi="Times New Roman" w:cs="Times New Roman"/>
              </w:rPr>
            </w:pPr>
            <w:r w:rsidRPr="00D0670F">
              <w:rPr>
                <w:rFonts w:ascii="Times New Roman" w:hAnsi="Times New Roman" w:cs="Times New Roman"/>
              </w:rPr>
              <w:t>Place</w:t>
            </w:r>
          </w:p>
        </w:tc>
        <w:tc>
          <w:tcPr>
            <w:tcW w:w="1470" w:type="dxa"/>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rsidR="00784769" w:rsidRPr="00D0670F" w:rsidRDefault="00784769" w:rsidP="00503CD1">
            <w:pPr>
              <w:autoSpaceDE w:val="0"/>
              <w:autoSpaceDN w:val="0"/>
              <w:adjustRightInd w:val="0"/>
              <w:spacing w:after="0" w:line="480" w:lineRule="auto"/>
              <w:jc w:val="center"/>
              <w:rPr>
                <w:rFonts w:ascii="Times New Roman" w:hAnsi="Times New Roman" w:cs="Times New Roman"/>
              </w:rPr>
            </w:pPr>
            <w:r w:rsidRPr="00D0670F">
              <w:rPr>
                <w:rFonts w:ascii="Times New Roman" w:hAnsi="Times New Roman" w:cs="Times New Roman"/>
              </w:rPr>
              <w:t>Sector</w:t>
            </w:r>
          </w:p>
        </w:tc>
      </w:tr>
      <w:tr w:rsidR="00784769" w:rsidRPr="00D0670F" w:rsidTr="00CD0821">
        <w:trPr>
          <w:trHeight w:val="340"/>
        </w:trPr>
        <w:tc>
          <w:tcPr>
            <w:tcW w:w="0" w:type="auto"/>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1</w:t>
            </w:r>
          </w:p>
        </w:tc>
        <w:tc>
          <w:tcPr>
            <w:tcW w:w="3927"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lang w:val="de-DE"/>
              </w:rPr>
            </w:pPr>
            <w:r w:rsidRPr="00D0670F">
              <w:rPr>
                <w:rFonts w:ascii="Times New Roman" w:hAnsi="Times New Roman" w:cs="Times New Roman"/>
                <w:bCs/>
                <w:lang w:val="de-DE"/>
              </w:rPr>
              <w:t>Corus Deutschland GmbH</w:t>
            </w:r>
          </w:p>
        </w:tc>
        <w:tc>
          <w:tcPr>
            <w:tcW w:w="2551"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4,230</w:t>
            </w:r>
          </w:p>
        </w:tc>
        <w:tc>
          <w:tcPr>
            <w:tcW w:w="1134" w:type="dxa"/>
            <w:tcBorders>
              <w:top w:val="single" w:sz="24" w:space="0" w:color="FFFFFF"/>
              <w:left w:val="single" w:sz="8" w:space="0" w:color="FFFFFF"/>
              <w:bottom w:val="single" w:sz="8" w:space="0" w:color="FFFFFF"/>
              <w:right w:val="single" w:sz="8" w:space="0" w:color="FFFFFF"/>
            </w:tcBorders>
            <w:shd w:val="clear" w:color="auto" w:fill="CBCDD3"/>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Koblenz</w:t>
            </w:r>
          </w:p>
        </w:tc>
        <w:tc>
          <w:tcPr>
            <w:tcW w:w="1470" w:type="dxa"/>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Steel</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2</w:t>
            </w:r>
          </w:p>
        </w:tc>
        <w:tc>
          <w:tcPr>
            <w:tcW w:w="392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lang w:val="de-DE"/>
              </w:rPr>
            </w:pPr>
            <w:r w:rsidRPr="00D0670F">
              <w:rPr>
                <w:rFonts w:ascii="Times New Roman" w:hAnsi="Times New Roman" w:cs="Times New Roman"/>
                <w:bCs/>
                <w:lang w:val="de-DE"/>
              </w:rPr>
              <w:t>REpower Systems SE</w:t>
            </w:r>
          </w:p>
        </w:tc>
        <w:tc>
          <w:tcPr>
            <w:tcW w:w="2551"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2,508</w:t>
            </w:r>
          </w:p>
        </w:tc>
        <w:tc>
          <w:tcPr>
            <w:tcW w:w="1134" w:type="dxa"/>
            <w:tcBorders>
              <w:top w:val="single" w:sz="8" w:space="0" w:color="FFFFFF"/>
              <w:left w:val="single" w:sz="8" w:space="0" w:color="FFFFFF"/>
              <w:bottom w:val="single" w:sz="8" w:space="0" w:color="FFFFFF"/>
              <w:right w:val="single" w:sz="8" w:space="0" w:color="FFFFFF"/>
            </w:tcBorders>
            <w:shd w:val="clear" w:color="auto" w:fill="E7E8EA"/>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Hamburg</w:t>
            </w:r>
          </w:p>
        </w:tc>
        <w:tc>
          <w:tcPr>
            <w:tcW w:w="147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Renewable Energy</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3</w:t>
            </w:r>
          </w:p>
        </w:tc>
        <w:tc>
          <w:tcPr>
            <w:tcW w:w="3927"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lang w:val="de-DE"/>
              </w:rPr>
            </w:pPr>
            <w:r w:rsidRPr="00D0670F">
              <w:rPr>
                <w:rFonts w:ascii="Times New Roman" w:hAnsi="Times New Roman" w:cs="Times New Roman"/>
                <w:bCs/>
                <w:lang w:val="de-DE"/>
              </w:rPr>
              <w:t>Novelis Deutschland GmbH</w:t>
            </w:r>
          </w:p>
        </w:tc>
        <w:tc>
          <w:tcPr>
            <w:tcW w:w="2551"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2,221</w:t>
            </w:r>
          </w:p>
        </w:tc>
        <w:tc>
          <w:tcPr>
            <w:tcW w:w="1134" w:type="dxa"/>
            <w:tcBorders>
              <w:top w:val="single" w:sz="8" w:space="0" w:color="FFFFFF"/>
              <w:left w:val="single" w:sz="8" w:space="0" w:color="FFFFFF"/>
              <w:bottom w:val="single" w:sz="8" w:space="0" w:color="FFFFFF"/>
              <w:right w:val="single" w:sz="8" w:space="0" w:color="FFFFFF"/>
            </w:tcBorders>
            <w:shd w:val="clear" w:color="auto" w:fill="CBCDD3"/>
          </w:tcPr>
          <w:p w:rsidR="00784769" w:rsidRPr="00D0670F" w:rsidRDefault="00A81F73"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Gottingen</w:t>
            </w:r>
          </w:p>
        </w:tc>
        <w:tc>
          <w:tcPr>
            <w:tcW w:w="1470"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A81F73"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Aluminum</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4</w:t>
            </w:r>
          </w:p>
        </w:tc>
        <w:tc>
          <w:tcPr>
            <w:tcW w:w="392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lang w:val="de-DE"/>
              </w:rPr>
            </w:pPr>
            <w:r w:rsidRPr="00D0670F">
              <w:rPr>
                <w:rFonts w:ascii="Times New Roman" w:hAnsi="Times New Roman" w:cs="Times New Roman"/>
                <w:bCs/>
                <w:lang w:val="de-DE"/>
              </w:rPr>
              <w:t>ALUMINIUM NORF Gesellschaft mit beschränkter Haftung</w:t>
            </w:r>
          </w:p>
        </w:tc>
        <w:tc>
          <w:tcPr>
            <w:tcW w:w="2551"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2,199</w:t>
            </w:r>
          </w:p>
        </w:tc>
        <w:tc>
          <w:tcPr>
            <w:tcW w:w="1134" w:type="dxa"/>
            <w:tcBorders>
              <w:top w:val="single" w:sz="8" w:space="0" w:color="FFFFFF"/>
              <w:left w:val="single" w:sz="8" w:space="0" w:color="FFFFFF"/>
              <w:bottom w:val="single" w:sz="8" w:space="0" w:color="FFFFFF"/>
              <w:right w:val="single" w:sz="8" w:space="0" w:color="FFFFFF"/>
            </w:tcBorders>
            <w:shd w:val="clear" w:color="auto" w:fill="E7E8EA"/>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Neuss</w:t>
            </w:r>
          </w:p>
        </w:tc>
        <w:tc>
          <w:tcPr>
            <w:tcW w:w="147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A81F73"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Aluminum</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5</w:t>
            </w:r>
          </w:p>
        </w:tc>
        <w:tc>
          <w:tcPr>
            <w:tcW w:w="3927"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lang w:val="de-DE"/>
              </w:rPr>
            </w:pPr>
            <w:r w:rsidRPr="00D0670F">
              <w:rPr>
                <w:rFonts w:ascii="Times New Roman" w:hAnsi="Times New Roman" w:cs="Times New Roman"/>
                <w:bCs/>
                <w:lang w:val="de-DE"/>
              </w:rPr>
              <w:t>Tata Steel Germany GmbH</w:t>
            </w:r>
          </w:p>
        </w:tc>
        <w:tc>
          <w:tcPr>
            <w:tcW w:w="2551"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1,336</w:t>
            </w:r>
          </w:p>
        </w:tc>
        <w:tc>
          <w:tcPr>
            <w:tcW w:w="1134" w:type="dxa"/>
            <w:tcBorders>
              <w:top w:val="single" w:sz="8" w:space="0" w:color="FFFFFF"/>
              <w:left w:val="single" w:sz="8" w:space="0" w:color="FFFFFF"/>
              <w:bottom w:val="single" w:sz="8" w:space="0" w:color="FFFFFF"/>
              <w:right w:val="single" w:sz="8" w:space="0" w:color="FFFFFF"/>
            </w:tcBorders>
            <w:shd w:val="clear" w:color="auto" w:fill="CBCDD3"/>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Düsseldorf</w:t>
            </w:r>
          </w:p>
        </w:tc>
        <w:tc>
          <w:tcPr>
            <w:tcW w:w="1470"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Steel</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6</w:t>
            </w:r>
          </w:p>
        </w:tc>
        <w:tc>
          <w:tcPr>
            <w:tcW w:w="392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rPr>
            </w:pPr>
            <w:r w:rsidRPr="00D0670F">
              <w:rPr>
                <w:rFonts w:ascii="Times New Roman" w:hAnsi="Times New Roman" w:cs="Times New Roman"/>
                <w:bCs/>
              </w:rPr>
              <w:t>SONA BLW Präzisionsschmiede GmbH</w:t>
            </w:r>
          </w:p>
        </w:tc>
        <w:tc>
          <w:tcPr>
            <w:tcW w:w="2551"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1,336</w:t>
            </w:r>
          </w:p>
        </w:tc>
        <w:tc>
          <w:tcPr>
            <w:tcW w:w="1134" w:type="dxa"/>
            <w:tcBorders>
              <w:top w:val="single" w:sz="8" w:space="0" w:color="FFFFFF"/>
              <w:left w:val="single" w:sz="8" w:space="0" w:color="FFFFFF"/>
              <w:bottom w:val="single" w:sz="8" w:space="0" w:color="FFFFFF"/>
              <w:right w:val="single" w:sz="8" w:space="0" w:color="FFFFFF"/>
            </w:tcBorders>
            <w:shd w:val="clear" w:color="auto" w:fill="E7E8EA"/>
          </w:tcPr>
          <w:p w:rsidR="00784769" w:rsidRPr="00D0670F" w:rsidRDefault="00A81F73" w:rsidP="00503CD1">
            <w:pPr>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Munich</w:t>
            </w:r>
          </w:p>
        </w:tc>
        <w:tc>
          <w:tcPr>
            <w:tcW w:w="147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Automotive</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7</w:t>
            </w:r>
          </w:p>
        </w:tc>
        <w:tc>
          <w:tcPr>
            <w:tcW w:w="3927"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rPr>
            </w:pPr>
            <w:r w:rsidRPr="00D0670F">
              <w:rPr>
                <w:rFonts w:ascii="Times New Roman" w:hAnsi="Times New Roman" w:cs="Times New Roman"/>
                <w:bCs/>
              </w:rPr>
              <w:t>Mahindra Forgings Europe Aktiengesellschaft</w:t>
            </w:r>
          </w:p>
        </w:tc>
        <w:tc>
          <w:tcPr>
            <w:tcW w:w="2551"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1,131</w:t>
            </w:r>
          </w:p>
        </w:tc>
        <w:tc>
          <w:tcPr>
            <w:tcW w:w="1134" w:type="dxa"/>
            <w:tcBorders>
              <w:top w:val="single" w:sz="8" w:space="0" w:color="FFFFFF"/>
              <w:left w:val="single" w:sz="8" w:space="0" w:color="FFFFFF"/>
              <w:bottom w:val="single" w:sz="8" w:space="0" w:color="FFFFFF"/>
              <w:right w:val="single" w:sz="8" w:space="0" w:color="FFFFFF"/>
            </w:tcBorders>
            <w:shd w:val="clear" w:color="auto" w:fill="CBCDD3"/>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Aalen</w:t>
            </w:r>
          </w:p>
        </w:tc>
        <w:tc>
          <w:tcPr>
            <w:tcW w:w="1470"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Automotive</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8</w:t>
            </w:r>
          </w:p>
        </w:tc>
        <w:tc>
          <w:tcPr>
            <w:tcW w:w="392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rPr>
            </w:pPr>
            <w:r w:rsidRPr="00D0670F">
              <w:rPr>
                <w:rFonts w:ascii="Times New Roman" w:hAnsi="Times New Roman" w:cs="Times New Roman"/>
                <w:bCs/>
              </w:rPr>
              <w:t>RÜTGERS Holding Germany GmbH</w:t>
            </w:r>
          </w:p>
        </w:tc>
        <w:tc>
          <w:tcPr>
            <w:tcW w:w="2551"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934</w:t>
            </w:r>
          </w:p>
        </w:tc>
        <w:tc>
          <w:tcPr>
            <w:tcW w:w="1134" w:type="dxa"/>
            <w:tcBorders>
              <w:top w:val="single" w:sz="8" w:space="0" w:color="FFFFFF"/>
              <w:left w:val="single" w:sz="8" w:space="0" w:color="FFFFFF"/>
              <w:bottom w:val="single" w:sz="8" w:space="0" w:color="FFFFFF"/>
              <w:right w:val="single" w:sz="8" w:space="0" w:color="FFFFFF"/>
            </w:tcBorders>
            <w:shd w:val="clear" w:color="auto" w:fill="E7E8EA"/>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Duisburg</w:t>
            </w:r>
          </w:p>
        </w:tc>
        <w:tc>
          <w:tcPr>
            <w:tcW w:w="147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Chemical</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9</w:t>
            </w:r>
          </w:p>
        </w:tc>
        <w:tc>
          <w:tcPr>
            <w:tcW w:w="3927"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lang w:val="de-DE"/>
              </w:rPr>
            </w:pPr>
            <w:r w:rsidRPr="00D0670F">
              <w:rPr>
                <w:rFonts w:ascii="Times New Roman" w:hAnsi="Times New Roman" w:cs="Times New Roman"/>
                <w:bCs/>
                <w:lang w:val="de-DE"/>
              </w:rPr>
              <w:t>RUTGERS Germany GmbH</w:t>
            </w:r>
          </w:p>
        </w:tc>
        <w:tc>
          <w:tcPr>
            <w:tcW w:w="2551"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650</w:t>
            </w:r>
          </w:p>
        </w:tc>
        <w:tc>
          <w:tcPr>
            <w:tcW w:w="1134" w:type="dxa"/>
            <w:tcBorders>
              <w:top w:val="single" w:sz="8" w:space="0" w:color="FFFFFF"/>
              <w:left w:val="single" w:sz="8" w:space="0" w:color="FFFFFF"/>
              <w:bottom w:val="single" w:sz="8" w:space="0" w:color="FFFFFF"/>
              <w:right w:val="single" w:sz="8" w:space="0" w:color="FFFFFF"/>
            </w:tcBorders>
            <w:shd w:val="clear" w:color="auto" w:fill="CBCDD3"/>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Castrop-Rauxel</w:t>
            </w:r>
          </w:p>
        </w:tc>
        <w:tc>
          <w:tcPr>
            <w:tcW w:w="1470"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Chemical</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10</w:t>
            </w:r>
          </w:p>
        </w:tc>
        <w:tc>
          <w:tcPr>
            <w:tcW w:w="392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rPr>
            </w:pPr>
            <w:r w:rsidRPr="00D0670F">
              <w:rPr>
                <w:rFonts w:ascii="Times New Roman" w:hAnsi="Times New Roman" w:cs="Times New Roman"/>
                <w:bCs/>
              </w:rPr>
              <w:t>Bilcare Research GmbH</w:t>
            </w:r>
          </w:p>
        </w:tc>
        <w:tc>
          <w:tcPr>
            <w:tcW w:w="2551"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626</w:t>
            </w:r>
          </w:p>
        </w:tc>
        <w:tc>
          <w:tcPr>
            <w:tcW w:w="1134" w:type="dxa"/>
            <w:tcBorders>
              <w:top w:val="single" w:sz="8" w:space="0" w:color="FFFFFF"/>
              <w:left w:val="single" w:sz="8" w:space="0" w:color="FFFFFF"/>
              <w:bottom w:val="single" w:sz="8" w:space="0" w:color="FFFFFF"/>
              <w:right w:val="single" w:sz="8" w:space="0" w:color="FFFFFF"/>
            </w:tcBorders>
            <w:shd w:val="clear" w:color="auto" w:fill="E7E8EA"/>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Staufen</w:t>
            </w:r>
          </w:p>
        </w:tc>
        <w:tc>
          <w:tcPr>
            <w:tcW w:w="147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Chemical</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11</w:t>
            </w:r>
          </w:p>
        </w:tc>
        <w:tc>
          <w:tcPr>
            <w:tcW w:w="3927"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rPr>
            </w:pPr>
            <w:r w:rsidRPr="00D0670F">
              <w:rPr>
                <w:rFonts w:ascii="Times New Roman" w:hAnsi="Times New Roman" w:cs="Times New Roman"/>
                <w:bCs/>
              </w:rPr>
              <w:t>Service Center Gelsenkirchen GmbH</w:t>
            </w:r>
          </w:p>
        </w:tc>
        <w:tc>
          <w:tcPr>
            <w:tcW w:w="2551"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576</w:t>
            </w:r>
          </w:p>
        </w:tc>
        <w:tc>
          <w:tcPr>
            <w:tcW w:w="1134" w:type="dxa"/>
            <w:tcBorders>
              <w:top w:val="single" w:sz="8" w:space="0" w:color="FFFFFF"/>
              <w:left w:val="single" w:sz="8" w:space="0" w:color="FFFFFF"/>
              <w:bottom w:val="single" w:sz="8" w:space="0" w:color="FFFFFF"/>
              <w:right w:val="single" w:sz="8" w:space="0" w:color="FFFFFF"/>
            </w:tcBorders>
            <w:shd w:val="clear" w:color="auto" w:fill="CBCDD3"/>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Düsseldorf</w:t>
            </w:r>
          </w:p>
        </w:tc>
        <w:tc>
          <w:tcPr>
            <w:tcW w:w="1470"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Steel</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12</w:t>
            </w:r>
          </w:p>
        </w:tc>
        <w:tc>
          <w:tcPr>
            <w:tcW w:w="392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rPr>
            </w:pPr>
            <w:r w:rsidRPr="00D0670F">
              <w:rPr>
                <w:rFonts w:ascii="Times New Roman" w:hAnsi="Times New Roman" w:cs="Times New Roman"/>
                <w:bCs/>
              </w:rPr>
              <w:t>Tata Consultancy Services Deutschland GmbH</w:t>
            </w:r>
          </w:p>
        </w:tc>
        <w:tc>
          <w:tcPr>
            <w:tcW w:w="2551"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537</w:t>
            </w:r>
          </w:p>
        </w:tc>
        <w:tc>
          <w:tcPr>
            <w:tcW w:w="1134" w:type="dxa"/>
            <w:tcBorders>
              <w:top w:val="single" w:sz="8" w:space="0" w:color="FFFFFF"/>
              <w:left w:val="single" w:sz="8" w:space="0" w:color="FFFFFF"/>
              <w:bottom w:val="single" w:sz="8" w:space="0" w:color="FFFFFF"/>
              <w:right w:val="single" w:sz="8" w:space="0" w:color="FFFFFF"/>
            </w:tcBorders>
            <w:shd w:val="clear" w:color="auto" w:fill="E7E8EA"/>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Frankfurt</w:t>
            </w:r>
          </w:p>
        </w:tc>
        <w:tc>
          <w:tcPr>
            <w:tcW w:w="147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Software</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13</w:t>
            </w:r>
          </w:p>
        </w:tc>
        <w:tc>
          <w:tcPr>
            <w:tcW w:w="3927"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rPr>
            </w:pPr>
            <w:r w:rsidRPr="00D0670F">
              <w:rPr>
                <w:rFonts w:ascii="Times New Roman" w:hAnsi="Times New Roman" w:cs="Times New Roman"/>
                <w:bCs/>
              </w:rPr>
              <w:t>SCHÖNEWEISS &amp; CO GmbH</w:t>
            </w:r>
          </w:p>
        </w:tc>
        <w:tc>
          <w:tcPr>
            <w:tcW w:w="2551"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528</w:t>
            </w:r>
          </w:p>
        </w:tc>
        <w:tc>
          <w:tcPr>
            <w:tcW w:w="1134" w:type="dxa"/>
            <w:tcBorders>
              <w:top w:val="single" w:sz="8" w:space="0" w:color="FFFFFF"/>
              <w:left w:val="single" w:sz="8" w:space="0" w:color="FFFFFF"/>
              <w:bottom w:val="single" w:sz="8" w:space="0" w:color="FFFFFF"/>
              <w:right w:val="single" w:sz="8" w:space="0" w:color="FFFFFF"/>
            </w:tcBorders>
            <w:shd w:val="clear" w:color="auto" w:fill="CBCDD3"/>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Hagen</w:t>
            </w:r>
          </w:p>
        </w:tc>
        <w:tc>
          <w:tcPr>
            <w:tcW w:w="1470"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Automotive</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14</w:t>
            </w:r>
          </w:p>
        </w:tc>
        <w:tc>
          <w:tcPr>
            <w:tcW w:w="392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rPr>
            </w:pPr>
            <w:r w:rsidRPr="00D0670F">
              <w:rPr>
                <w:rFonts w:ascii="Times New Roman" w:hAnsi="Times New Roman" w:cs="Times New Roman"/>
                <w:bCs/>
              </w:rPr>
              <w:t>CDP Bharat Forge GmbH</w:t>
            </w:r>
          </w:p>
        </w:tc>
        <w:tc>
          <w:tcPr>
            <w:tcW w:w="2551"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473</w:t>
            </w:r>
          </w:p>
        </w:tc>
        <w:tc>
          <w:tcPr>
            <w:tcW w:w="1134" w:type="dxa"/>
            <w:tcBorders>
              <w:top w:val="single" w:sz="8" w:space="0" w:color="FFFFFF"/>
              <w:left w:val="single" w:sz="8" w:space="0" w:color="FFFFFF"/>
              <w:bottom w:val="single" w:sz="8" w:space="0" w:color="FFFFFF"/>
              <w:right w:val="single" w:sz="8" w:space="0" w:color="FFFFFF"/>
            </w:tcBorders>
            <w:shd w:val="clear" w:color="auto" w:fill="E7E8EA"/>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Ennepetal</w:t>
            </w:r>
          </w:p>
        </w:tc>
        <w:tc>
          <w:tcPr>
            <w:tcW w:w="147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Automotive</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15</w:t>
            </w:r>
          </w:p>
        </w:tc>
        <w:tc>
          <w:tcPr>
            <w:tcW w:w="3927"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rPr>
            </w:pPr>
            <w:r w:rsidRPr="00D0670F">
              <w:rPr>
                <w:rFonts w:ascii="Times New Roman" w:hAnsi="Times New Roman" w:cs="Times New Roman"/>
                <w:bCs/>
              </w:rPr>
              <w:t>Reddy Holding GmbH</w:t>
            </w:r>
          </w:p>
        </w:tc>
        <w:tc>
          <w:tcPr>
            <w:tcW w:w="2551"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eastAsia="Times New Roman" w:hAnsi="Times New Roman" w:cs="Times New Roman"/>
              </w:rPr>
              <w:t>428</w:t>
            </w:r>
          </w:p>
        </w:tc>
        <w:tc>
          <w:tcPr>
            <w:tcW w:w="1134" w:type="dxa"/>
            <w:tcBorders>
              <w:top w:val="single" w:sz="8" w:space="0" w:color="FFFFFF"/>
              <w:left w:val="single" w:sz="8" w:space="0" w:color="FFFFFF"/>
              <w:bottom w:val="single" w:sz="8" w:space="0" w:color="FFFFFF"/>
              <w:right w:val="single" w:sz="8" w:space="0" w:color="FFFFFF"/>
            </w:tcBorders>
            <w:shd w:val="clear" w:color="auto" w:fill="CBCDD3"/>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Augsburg</w:t>
            </w:r>
          </w:p>
        </w:tc>
        <w:tc>
          <w:tcPr>
            <w:tcW w:w="1470"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Healthcare</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16</w:t>
            </w:r>
          </w:p>
        </w:tc>
        <w:tc>
          <w:tcPr>
            <w:tcW w:w="392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lang w:val="de-DE"/>
              </w:rPr>
            </w:pPr>
            <w:r w:rsidRPr="00D0670F">
              <w:rPr>
                <w:rFonts w:ascii="Times New Roman" w:hAnsi="Times New Roman" w:cs="Times New Roman"/>
                <w:bCs/>
                <w:lang w:val="de-DE"/>
              </w:rPr>
              <w:t>Gesenkschmiede Schneider Gesellschaft mit beschränkter Haftung</w:t>
            </w:r>
          </w:p>
        </w:tc>
        <w:tc>
          <w:tcPr>
            <w:tcW w:w="2551"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411</w:t>
            </w:r>
          </w:p>
        </w:tc>
        <w:tc>
          <w:tcPr>
            <w:tcW w:w="1134" w:type="dxa"/>
            <w:tcBorders>
              <w:top w:val="single" w:sz="8" w:space="0" w:color="FFFFFF"/>
              <w:left w:val="single" w:sz="8" w:space="0" w:color="FFFFFF"/>
              <w:bottom w:val="single" w:sz="8" w:space="0" w:color="FFFFFF"/>
              <w:right w:val="single" w:sz="8" w:space="0" w:color="FFFFFF"/>
            </w:tcBorders>
            <w:shd w:val="clear" w:color="auto" w:fill="E7E8EA"/>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Aalen</w:t>
            </w:r>
          </w:p>
        </w:tc>
        <w:tc>
          <w:tcPr>
            <w:tcW w:w="147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Automotive</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17</w:t>
            </w:r>
          </w:p>
        </w:tc>
        <w:tc>
          <w:tcPr>
            <w:tcW w:w="3927"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rPr>
            </w:pPr>
            <w:r w:rsidRPr="00D0670F">
              <w:rPr>
                <w:rFonts w:ascii="Times New Roman" w:hAnsi="Times New Roman" w:cs="Times New Roman"/>
                <w:bCs/>
              </w:rPr>
              <w:t>MeridianSpa Deutschland GmbH</w:t>
            </w:r>
          </w:p>
        </w:tc>
        <w:tc>
          <w:tcPr>
            <w:tcW w:w="2551"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402</w:t>
            </w:r>
          </w:p>
        </w:tc>
        <w:tc>
          <w:tcPr>
            <w:tcW w:w="1134" w:type="dxa"/>
            <w:tcBorders>
              <w:top w:val="single" w:sz="8" w:space="0" w:color="FFFFFF"/>
              <w:left w:val="single" w:sz="8" w:space="0" w:color="FFFFFF"/>
              <w:bottom w:val="single" w:sz="8" w:space="0" w:color="FFFFFF"/>
              <w:right w:val="single" w:sz="8" w:space="0" w:color="FFFFFF"/>
            </w:tcBorders>
            <w:shd w:val="clear" w:color="auto" w:fill="CBCDD3"/>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Hamburg</w:t>
            </w:r>
          </w:p>
        </w:tc>
        <w:tc>
          <w:tcPr>
            <w:tcW w:w="1470"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Wellness</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18</w:t>
            </w:r>
          </w:p>
        </w:tc>
        <w:tc>
          <w:tcPr>
            <w:tcW w:w="392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rPr>
            </w:pPr>
            <w:r w:rsidRPr="00D0670F">
              <w:rPr>
                <w:rFonts w:ascii="Times New Roman" w:hAnsi="Times New Roman" w:cs="Times New Roman"/>
                <w:bCs/>
              </w:rPr>
              <w:t>Infotech Enterprises GmbH</w:t>
            </w:r>
          </w:p>
        </w:tc>
        <w:tc>
          <w:tcPr>
            <w:tcW w:w="2551"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292</w:t>
            </w:r>
          </w:p>
        </w:tc>
        <w:tc>
          <w:tcPr>
            <w:tcW w:w="1134" w:type="dxa"/>
            <w:tcBorders>
              <w:top w:val="single" w:sz="8" w:space="0" w:color="FFFFFF"/>
              <w:left w:val="single" w:sz="8" w:space="0" w:color="FFFFFF"/>
              <w:bottom w:val="single" w:sz="8" w:space="0" w:color="FFFFFF"/>
              <w:right w:val="single" w:sz="8" w:space="0" w:color="FFFFFF"/>
            </w:tcBorders>
            <w:shd w:val="clear" w:color="auto" w:fill="E7E8EA"/>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Leonberg</w:t>
            </w:r>
          </w:p>
        </w:tc>
        <w:tc>
          <w:tcPr>
            <w:tcW w:w="147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Software</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19</w:t>
            </w:r>
          </w:p>
        </w:tc>
        <w:tc>
          <w:tcPr>
            <w:tcW w:w="3927"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rPr>
            </w:pPr>
            <w:r w:rsidRPr="00D0670F">
              <w:rPr>
                <w:rFonts w:ascii="Times New Roman" w:hAnsi="Times New Roman" w:cs="Times New Roman"/>
                <w:bCs/>
              </w:rPr>
              <w:t>Havells Sylvania Germany GmbH</w:t>
            </w:r>
          </w:p>
        </w:tc>
        <w:tc>
          <w:tcPr>
            <w:tcW w:w="2551"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274</w:t>
            </w:r>
          </w:p>
        </w:tc>
        <w:tc>
          <w:tcPr>
            <w:tcW w:w="1134" w:type="dxa"/>
            <w:tcBorders>
              <w:top w:val="single" w:sz="8" w:space="0" w:color="FFFFFF"/>
              <w:left w:val="single" w:sz="8" w:space="0" w:color="FFFFFF"/>
              <w:bottom w:val="single" w:sz="8" w:space="0" w:color="FFFFFF"/>
              <w:right w:val="single" w:sz="8" w:space="0" w:color="FFFFFF"/>
            </w:tcBorders>
            <w:shd w:val="clear" w:color="auto" w:fill="CBCDD3"/>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Erlangen</w:t>
            </w:r>
          </w:p>
        </w:tc>
        <w:tc>
          <w:tcPr>
            <w:tcW w:w="1470" w:type="dxa"/>
            <w:tcBorders>
              <w:top w:val="single" w:sz="8"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Electrical</w:t>
            </w:r>
          </w:p>
        </w:tc>
      </w:tr>
      <w:tr w:rsidR="00784769" w:rsidRPr="00D0670F" w:rsidTr="00CD0821">
        <w:trPr>
          <w:trHeight w:val="340"/>
        </w:trPr>
        <w:tc>
          <w:tcPr>
            <w:tcW w:w="0" w:type="auto"/>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rPr>
                <w:rFonts w:ascii="Times New Roman" w:hAnsi="Times New Roman" w:cs="Times New Roman"/>
              </w:rPr>
            </w:pPr>
            <w:r w:rsidRPr="00D0670F">
              <w:rPr>
                <w:rFonts w:ascii="Times New Roman" w:hAnsi="Times New Roman" w:cs="Times New Roman"/>
              </w:rPr>
              <w:t>20</w:t>
            </w:r>
          </w:p>
        </w:tc>
        <w:tc>
          <w:tcPr>
            <w:tcW w:w="392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spacing w:after="0" w:line="240" w:lineRule="auto"/>
              <w:contextualSpacing/>
              <w:rPr>
                <w:rFonts w:ascii="Times New Roman" w:hAnsi="Times New Roman" w:cs="Times New Roman"/>
                <w:lang w:val="de-DE"/>
              </w:rPr>
            </w:pPr>
            <w:r w:rsidRPr="00D0670F">
              <w:rPr>
                <w:rFonts w:ascii="Times New Roman" w:hAnsi="Times New Roman" w:cs="Times New Roman"/>
                <w:bCs/>
                <w:lang w:val="de-DE"/>
              </w:rPr>
              <w:t>Peiner Umformtechnik Gesellschaft mit beschränkter Haftung</w:t>
            </w:r>
          </w:p>
        </w:tc>
        <w:tc>
          <w:tcPr>
            <w:tcW w:w="2551"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265</w:t>
            </w:r>
          </w:p>
        </w:tc>
        <w:tc>
          <w:tcPr>
            <w:tcW w:w="1134" w:type="dxa"/>
            <w:tcBorders>
              <w:top w:val="single" w:sz="8" w:space="0" w:color="FFFFFF"/>
              <w:left w:val="single" w:sz="8" w:space="0" w:color="FFFFFF"/>
              <w:bottom w:val="single" w:sz="8" w:space="0" w:color="FFFFFF"/>
              <w:right w:val="single" w:sz="8" w:space="0" w:color="FFFFFF"/>
            </w:tcBorders>
            <w:shd w:val="clear" w:color="auto" w:fill="E7E8EA"/>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Peine</w:t>
            </w:r>
          </w:p>
        </w:tc>
        <w:tc>
          <w:tcPr>
            <w:tcW w:w="147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784769" w:rsidRPr="00D0670F" w:rsidRDefault="00784769" w:rsidP="00503CD1">
            <w:pPr>
              <w:autoSpaceDE w:val="0"/>
              <w:autoSpaceDN w:val="0"/>
              <w:adjustRightInd w:val="0"/>
              <w:spacing w:after="0" w:line="240" w:lineRule="auto"/>
              <w:contextualSpacing/>
              <w:jc w:val="center"/>
              <w:rPr>
                <w:rFonts w:ascii="Times New Roman" w:hAnsi="Times New Roman" w:cs="Times New Roman"/>
              </w:rPr>
            </w:pPr>
            <w:r w:rsidRPr="00D0670F">
              <w:rPr>
                <w:rFonts w:ascii="Times New Roman" w:hAnsi="Times New Roman" w:cs="Times New Roman"/>
              </w:rPr>
              <w:t>Engineering</w:t>
            </w:r>
          </w:p>
        </w:tc>
      </w:tr>
    </w:tbl>
    <w:p w:rsidR="00DF31FB" w:rsidRDefault="00DF31FB" w:rsidP="00503CD1">
      <w:pPr>
        <w:autoSpaceDE w:val="0"/>
        <w:autoSpaceDN w:val="0"/>
        <w:adjustRightInd w:val="0"/>
        <w:spacing w:after="0" w:line="480" w:lineRule="auto"/>
        <w:jc w:val="both"/>
        <w:rPr>
          <w:rFonts w:ascii="Times New Roman" w:hAnsi="Times New Roman" w:cs="Times New Roman"/>
        </w:rPr>
      </w:pPr>
    </w:p>
    <w:p w:rsidR="00B51494" w:rsidRDefault="00B51494" w:rsidP="00503CD1">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Table 6. Indian firms in German</w:t>
      </w:r>
      <w:r w:rsidRPr="00B51494">
        <w:rPr>
          <w:rFonts w:ascii="Times New Roman" w:hAnsi="Times New Roman" w:cs="Times New Roman"/>
        </w:rPr>
        <w:t>y (</w:t>
      </w:r>
      <w:r w:rsidR="00213A56">
        <w:rPr>
          <w:rFonts w:ascii="Times New Roman" w:hAnsi="Times New Roman" w:cs="Times New Roman"/>
        </w:rPr>
        <w:t xml:space="preserve">Source: </w:t>
      </w:r>
      <w:r w:rsidRPr="00B51494">
        <w:rPr>
          <w:rFonts w:ascii="Times New Roman" w:hAnsi="Times New Roman" w:cs="Times New Roman"/>
        </w:rPr>
        <w:t>Dafne 201</w:t>
      </w:r>
      <w:r w:rsidR="000C38FE">
        <w:rPr>
          <w:rFonts w:ascii="Times New Roman" w:hAnsi="Times New Roman" w:cs="Times New Roman"/>
        </w:rPr>
        <w:t>4</w:t>
      </w:r>
      <w:r w:rsidR="006336FC">
        <w:rPr>
          <w:rFonts w:ascii="Times New Roman" w:hAnsi="Times New Roman" w:cs="Times New Roman"/>
        </w:rPr>
        <w:t>; c</w:t>
      </w:r>
      <w:r w:rsidRPr="00B51494">
        <w:rPr>
          <w:rFonts w:ascii="Times New Roman" w:hAnsi="Times New Roman" w:cs="Times New Roman"/>
        </w:rPr>
        <w:t>ompany websites)</w:t>
      </w:r>
    </w:p>
    <w:p w:rsidR="002E4061" w:rsidRPr="00686357" w:rsidRDefault="00AC4FF2" w:rsidP="00503CD1">
      <w:pPr>
        <w:autoSpaceDE w:val="0"/>
        <w:autoSpaceDN w:val="0"/>
        <w:adjustRightInd w:val="0"/>
        <w:spacing w:after="0" w:line="480" w:lineRule="auto"/>
        <w:jc w:val="both"/>
        <w:rPr>
          <w:rFonts w:ascii="Times New Roman" w:hAnsi="Times New Roman" w:cs="Times New Roman"/>
        </w:rPr>
      </w:pPr>
      <w:r w:rsidRPr="00686357">
        <w:rPr>
          <w:rFonts w:ascii="Times New Roman" w:hAnsi="Times New Roman" w:cs="Times New Roman"/>
        </w:rPr>
        <w:lastRenderedPageBreak/>
        <w:t xml:space="preserve">It is quite apparent from the information provided </w:t>
      </w:r>
      <w:r w:rsidR="00374569">
        <w:rPr>
          <w:rFonts w:ascii="Times New Roman" w:hAnsi="Times New Roman" w:cs="Times New Roman"/>
        </w:rPr>
        <w:t>in the previous sections</w:t>
      </w:r>
      <w:r w:rsidRPr="00686357">
        <w:rPr>
          <w:rFonts w:ascii="Times New Roman" w:hAnsi="Times New Roman" w:cs="Times New Roman"/>
        </w:rPr>
        <w:t xml:space="preserve"> that sectors such as software, </w:t>
      </w:r>
      <w:r w:rsidR="004E4075" w:rsidRPr="00686357">
        <w:rPr>
          <w:rFonts w:ascii="Times New Roman" w:hAnsi="Times New Roman" w:cs="Times New Roman"/>
        </w:rPr>
        <w:t xml:space="preserve">and </w:t>
      </w:r>
      <w:r w:rsidRPr="00686357">
        <w:rPr>
          <w:rFonts w:ascii="Times New Roman" w:hAnsi="Times New Roman" w:cs="Times New Roman"/>
        </w:rPr>
        <w:t xml:space="preserve">automotive </w:t>
      </w:r>
      <w:r w:rsidR="004E4075" w:rsidRPr="00686357">
        <w:rPr>
          <w:rFonts w:ascii="Times New Roman" w:hAnsi="Times New Roman" w:cs="Times New Roman"/>
        </w:rPr>
        <w:t>components</w:t>
      </w:r>
      <w:r w:rsidRPr="00686357">
        <w:rPr>
          <w:rFonts w:ascii="Times New Roman" w:hAnsi="Times New Roman" w:cs="Times New Roman"/>
        </w:rPr>
        <w:t xml:space="preserve"> are clear favorites </w:t>
      </w:r>
      <w:r w:rsidR="004E4075" w:rsidRPr="00686357">
        <w:rPr>
          <w:rFonts w:ascii="Times New Roman" w:hAnsi="Times New Roman" w:cs="Times New Roman"/>
        </w:rPr>
        <w:t>among the</w:t>
      </w:r>
      <w:r w:rsidRPr="00686357">
        <w:rPr>
          <w:rFonts w:ascii="Times New Roman" w:hAnsi="Times New Roman" w:cs="Times New Roman"/>
        </w:rPr>
        <w:t xml:space="preserve"> Indian firms. </w:t>
      </w:r>
      <w:r w:rsidR="00C05653" w:rsidRPr="00686357">
        <w:rPr>
          <w:rFonts w:ascii="Times New Roman" w:hAnsi="Times New Roman" w:cs="Times New Roman"/>
        </w:rPr>
        <w:t xml:space="preserve">To date almost all of the Indian investments in Germany have been in sync with the traditional avenues of Indian overseas ventures; technology, manufacturing, services and renewable energy. Germany </w:t>
      </w:r>
      <w:r w:rsidR="004E4075" w:rsidRPr="00686357">
        <w:rPr>
          <w:rFonts w:ascii="Times New Roman" w:hAnsi="Times New Roman" w:cs="Times New Roman"/>
        </w:rPr>
        <w:t>provide</w:t>
      </w:r>
      <w:r w:rsidR="00C05653" w:rsidRPr="00686357">
        <w:rPr>
          <w:rFonts w:ascii="Times New Roman" w:hAnsi="Times New Roman" w:cs="Times New Roman"/>
        </w:rPr>
        <w:t>s</w:t>
      </w:r>
      <w:r w:rsidR="004E4075" w:rsidRPr="00686357">
        <w:rPr>
          <w:rFonts w:ascii="Times New Roman" w:hAnsi="Times New Roman" w:cs="Times New Roman"/>
        </w:rPr>
        <w:t xml:space="preserve"> an ideal platform for the Indian f</w:t>
      </w:r>
      <w:r w:rsidR="00C05653" w:rsidRPr="00686357">
        <w:rPr>
          <w:rFonts w:ascii="Times New Roman" w:hAnsi="Times New Roman" w:cs="Times New Roman"/>
        </w:rPr>
        <w:t>irms to move up the value chain, and the great number of Indian firms already operating in Germany highlights the fact that Indian firms can be successful and run a sustainable business in the most economically progressive country in EU.</w:t>
      </w:r>
    </w:p>
    <w:p w:rsidR="006B5E27" w:rsidRPr="00686357" w:rsidRDefault="006B5E27" w:rsidP="00503CD1">
      <w:pPr>
        <w:autoSpaceDE w:val="0"/>
        <w:autoSpaceDN w:val="0"/>
        <w:adjustRightInd w:val="0"/>
        <w:spacing w:after="0" w:line="480" w:lineRule="auto"/>
        <w:jc w:val="both"/>
        <w:rPr>
          <w:rFonts w:ascii="Times New Roman" w:hAnsi="Times New Roman" w:cs="Times New Roman"/>
        </w:rPr>
      </w:pPr>
    </w:p>
    <w:p w:rsidR="004E4075" w:rsidRPr="00686357" w:rsidRDefault="006B5E27" w:rsidP="00503CD1">
      <w:pPr>
        <w:autoSpaceDE w:val="0"/>
        <w:autoSpaceDN w:val="0"/>
        <w:adjustRightInd w:val="0"/>
        <w:spacing w:after="0" w:line="480" w:lineRule="auto"/>
        <w:jc w:val="both"/>
        <w:rPr>
          <w:rFonts w:ascii="Times New Roman" w:hAnsi="Times New Roman" w:cs="Times New Roman"/>
        </w:rPr>
      </w:pPr>
      <w:r w:rsidRPr="00686357">
        <w:rPr>
          <w:rFonts w:ascii="Times New Roman" w:hAnsi="Times New Roman" w:cs="Times New Roman"/>
        </w:rPr>
        <w:t>I</w:t>
      </w:r>
      <w:r w:rsidR="002F2B25" w:rsidRPr="00686357">
        <w:rPr>
          <w:rFonts w:ascii="Times New Roman" w:hAnsi="Times New Roman" w:cs="Times New Roman"/>
        </w:rPr>
        <w:t>nvestments in Germany have also helped the Indian firms to focus more on using existing German facilities as a launch pad for a broader European presence</w:t>
      </w:r>
      <w:r w:rsidRPr="00686357">
        <w:rPr>
          <w:rFonts w:ascii="Times New Roman" w:hAnsi="Times New Roman" w:cs="Times New Roman"/>
        </w:rPr>
        <w:t xml:space="preserve">, instead of just seeking know-how and brands. It has also helped the </w:t>
      </w:r>
      <w:r w:rsidR="002F2B25" w:rsidRPr="00686357">
        <w:rPr>
          <w:rFonts w:ascii="Times New Roman" w:hAnsi="Times New Roman" w:cs="Times New Roman"/>
        </w:rPr>
        <w:t xml:space="preserve">Indian companies </w:t>
      </w:r>
      <w:r w:rsidRPr="00686357">
        <w:rPr>
          <w:rFonts w:ascii="Times New Roman" w:hAnsi="Times New Roman" w:cs="Times New Roman"/>
        </w:rPr>
        <w:t xml:space="preserve">to </w:t>
      </w:r>
      <w:r w:rsidR="002F2B25" w:rsidRPr="00686357">
        <w:rPr>
          <w:rFonts w:ascii="Times New Roman" w:hAnsi="Times New Roman" w:cs="Times New Roman"/>
        </w:rPr>
        <w:t xml:space="preserve">enhance their R&amp;D, sales and after sales capabilities. In addition, </w:t>
      </w:r>
      <w:r w:rsidRPr="00686357">
        <w:rPr>
          <w:rFonts w:ascii="Times New Roman" w:hAnsi="Times New Roman" w:cs="Times New Roman"/>
        </w:rPr>
        <w:t xml:space="preserve">bigger firms have benefitted </w:t>
      </w:r>
      <w:r w:rsidR="002F2B25" w:rsidRPr="00686357">
        <w:rPr>
          <w:rFonts w:ascii="Times New Roman" w:hAnsi="Times New Roman" w:cs="Times New Roman"/>
        </w:rPr>
        <w:t xml:space="preserve">from a deeper EU presence, which </w:t>
      </w:r>
      <w:r w:rsidRPr="00686357">
        <w:rPr>
          <w:rFonts w:ascii="Times New Roman" w:hAnsi="Times New Roman" w:cs="Times New Roman"/>
        </w:rPr>
        <w:t xml:space="preserve">has reduced </w:t>
      </w:r>
      <w:r w:rsidR="002F2B25" w:rsidRPr="00686357">
        <w:rPr>
          <w:rFonts w:ascii="Times New Roman" w:hAnsi="Times New Roman" w:cs="Times New Roman"/>
        </w:rPr>
        <w:t>their dependency on the US</w:t>
      </w:r>
      <w:r w:rsidRPr="00686357">
        <w:rPr>
          <w:rFonts w:ascii="Times New Roman" w:hAnsi="Times New Roman" w:cs="Times New Roman"/>
        </w:rPr>
        <w:t xml:space="preserve">. </w:t>
      </w:r>
      <w:r w:rsidR="004E4075" w:rsidRPr="00686357">
        <w:rPr>
          <w:rFonts w:ascii="Times New Roman" w:hAnsi="Times New Roman" w:cs="Times New Roman"/>
        </w:rPr>
        <w:t xml:space="preserve">For </w:t>
      </w:r>
      <w:r w:rsidR="00F73533">
        <w:rPr>
          <w:rFonts w:ascii="Times New Roman" w:hAnsi="Times New Roman" w:cs="Times New Roman"/>
        </w:rPr>
        <w:t xml:space="preserve">big Indian IT firms </w:t>
      </w:r>
      <w:r w:rsidR="004E4075" w:rsidRPr="00686357">
        <w:rPr>
          <w:rFonts w:ascii="Times New Roman" w:hAnsi="Times New Roman" w:cs="Times New Roman"/>
        </w:rPr>
        <w:t xml:space="preserve">as </w:t>
      </w:r>
      <w:r w:rsidR="00F73533">
        <w:rPr>
          <w:rFonts w:ascii="Times New Roman" w:hAnsi="Times New Roman" w:cs="Times New Roman"/>
        </w:rPr>
        <w:t xml:space="preserve">TCS, Wipro and </w:t>
      </w:r>
      <w:r w:rsidR="004E4075" w:rsidRPr="00686357">
        <w:rPr>
          <w:rFonts w:ascii="Times New Roman" w:hAnsi="Times New Roman" w:cs="Times New Roman"/>
        </w:rPr>
        <w:t xml:space="preserve">Infosys, for whom success in continental Europe was so far limited to the UK and Nordic countries, Germany </w:t>
      </w:r>
      <w:r w:rsidRPr="00686357">
        <w:rPr>
          <w:rFonts w:ascii="Times New Roman" w:hAnsi="Times New Roman" w:cs="Times New Roman"/>
        </w:rPr>
        <w:t xml:space="preserve">also </w:t>
      </w:r>
      <w:r w:rsidR="004E4075" w:rsidRPr="00686357">
        <w:rPr>
          <w:rFonts w:ascii="Times New Roman" w:hAnsi="Times New Roman" w:cs="Times New Roman"/>
        </w:rPr>
        <w:t>provides a</w:t>
      </w:r>
      <w:r w:rsidRPr="00686357">
        <w:rPr>
          <w:rFonts w:ascii="Times New Roman" w:hAnsi="Times New Roman" w:cs="Times New Roman"/>
        </w:rPr>
        <w:t xml:space="preserve"> strategic o</w:t>
      </w:r>
      <w:r w:rsidR="004E4075" w:rsidRPr="00686357">
        <w:rPr>
          <w:rFonts w:ascii="Times New Roman" w:hAnsi="Times New Roman" w:cs="Times New Roman"/>
        </w:rPr>
        <w:t>pportunity to diversify business risks.</w:t>
      </w:r>
      <w:r w:rsidRPr="00686357">
        <w:rPr>
          <w:rFonts w:ascii="Times New Roman" w:hAnsi="Times New Roman" w:cs="Times New Roman"/>
        </w:rPr>
        <w:t xml:space="preserve"> Acquisition of German firms further provides the Indian firms a crucial advantage in terms of local trust, sales and distribution base with intimate knowledge of local markets</w:t>
      </w:r>
      <w:r w:rsidR="007C0C53">
        <w:rPr>
          <w:rFonts w:ascii="Times New Roman" w:hAnsi="Times New Roman" w:cs="Times New Roman"/>
        </w:rPr>
        <w:t xml:space="preserve"> </w:t>
      </w:r>
      <w:r w:rsidR="007C0C53" w:rsidRPr="00686357">
        <w:rPr>
          <w:rFonts w:ascii="Times New Roman" w:hAnsi="Times New Roman" w:cs="Times New Roman"/>
        </w:rPr>
        <w:t xml:space="preserve">(Hoffmann-Theinert </w:t>
      </w:r>
      <w:r w:rsidR="007C0C53">
        <w:rPr>
          <w:rFonts w:ascii="Times New Roman" w:hAnsi="Times New Roman" w:cs="Times New Roman"/>
        </w:rPr>
        <w:t>&amp;</w:t>
      </w:r>
      <w:r w:rsidR="007C0C53" w:rsidRPr="00686357">
        <w:rPr>
          <w:rFonts w:ascii="Times New Roman" w:hAnsi="Times New Roman" w:cs="Times New Roman"/>
        </w:rPr>
        <w:t>Wright, 2013</w:t>
      </w:r>
      <w:r w:rsidR="007C0C53">
        <w:rPr>
          <w:rFonts w:ascii="Times New Roman" w:hAnsi="Times New Roman" w:cs="Times New Roman"/>
        </w:rPr>
        <w:t>)</w:t>
      </w:r>
      <w:r w:rsidRPr="00686357">
        <w:rPr>
          <w:rFonts w:ascii="Times New Roman" w:hAnsi="Times New Roman" w:cs="Times New Roman"/>
        </w:rPr>
        <w:t xml:space="preserve">. </w:t>
      </w:r>
    </w:p>
    <w:p w:rsidR="004D1C5E" w:rsidRPr="00686357" w:rsidRDefault="004D1C5E" w:rsidP="00503CD1">
      <w:pPr>
        <w:autoSpaceDE w:val="0"/>
        <w:autoSpaceDN w:val="0"/>
        <w:adjustRightInd w:val="0"/>
        <w:spacing w:after="0" w:line="480" w:lineRule="auto"/>
        <w:jc w:val="both"/>
        <w:rPr>
          <w:rFonts w:ascii="Times New Roman" w:hAnsi="Times New Roman" w:cs="Times New Roman"/>
        </w:rPr>
      </w:pPr>
    </w:p>
    <w:p w:rsidR="00E2420C" w:rsidRDefault="004D1C5E" w:rsidP="00503CD1">
      <w:pPr>
        <w:autoSpaceDE w:val="0"/>
        <w:autoSpaceDN w:val="0"/>
        <w:adjustRightInd w:val="0"/>
        <w:spacing w:after="0" w:line="480" w:lineRule="auto"/>
        <w:jc w:val="both"/>
        <w:rPr>
          <w:rFonts w:ascii="Times New Roman" w:hAnsi="Times New Roman" w:cs="Times New Roman"/>
        </w:rPr>
      </w:pPr>
      <w:r w:rsidRPr="00686357">
        <w:rPr>
          <w:rFonts w:ascii="Times New Roman" w:hAnsi="Times New Roman" w:cs="Times New Roman"/>
        </w:rPr>
        <w:t xml:space="preserve">Indian firms have also been bold and proactive in buying out the distressed or insolvent German firms. </w:t>
      </w:r>
      <w:r w:rsidR="00E2420C" w:rsidRPr="00686357">
        <w:rPr>
          <w:rFonts w:ascii="Times New Roman" w:hAnsi="Times New Roman" w:cs="Times New Roman"/>
        </w:rPr>
        <w:t xml:space="preserve">Most notable among them </w:t>
      </w:r>
      <w:r w:rsidR="00756734">
        <w:rPr>
          <w:rFonts w:ascii="Times New Roman" w:hAnsi="Times New Roman" w:cs="Times New Roman"/>
        </w:rPr>
        <w:t>were</w:t>
      </w:r>
      <w:r w:rsidR="00E2420C" w:rsidRPr="00686357">
        <w:rPr>
          <w:rFonts w:ascii="Times New Roman" w:hAnsi="Times New Roman" w:cs="Times New Roman"/>
        </w:rPr>
        <w:t>: Megha Mittal</w:t>
      </w:r>
      <w:r w:rsidR="003E4F37" w:rsidRPr="00686357">
        <w:rPr>
          <w:rFonts w:ascii="Times New Roman" w:hAnsi="Times New Roman" w:cs="Times New Roman"/>
        </w:rPr>
        <w:t>’s</w:t>
      </w:r>
      <w:r w:rsidR="00E2420C" w:rsidRPr="00686357">
        <w:rPr>
          <w:rFonts w:ascii="Times New Roman" w:hAnsi="Times New Roman" w:cs="Times New Roman"/>
        </w:rPr>
        <w:t xml:space="preserve"> of Mittal Family Trust acquisition of Escada</w:t>
      </w:r>
      <w:r w:rsidR="00E56270" w:rsidRPr="00686357">
        <w:rPr>
          <w:rFonts w:ascii="Times New Roman" w:hAnsi="Times New Roman" w:cs="Times New Roman"/>
        </w:rPr>
        <w:t>, a German fashion luxury brand</w:t>
      </w:r>
      <w:r w:rsidR="00E2420C" w:rsidRPr="00686357">
        <w:rPr>
          <w:rFonts w:ascii="Times New Roman" w:hAnsi="Times New Roman" w:cs="Times New Roman"/>
        </w:rPr>
        <w:t xml:space="preserve"> for € 30 million; Hindustan National Glass’ acquisition of Agenda Glass AG for € 50 million; ChinaKiri Dyes and Chemicals (KDCL) through its special purpose vehicle Kiri Holding,</w:t>
      </w:r>
      <w:r w:rsidR="000C72B0">
        <w:rPr>
          <w:rFonts w:ascii="Times New Roman" w:hAnsi="Times New Roman" w:cs="Times New Roman"/>
        </w:rPr>
        <w:t xml:space="preserve"> </w:t>
      </w:r>
      <w:r w:rsidR="00E2420C" w:rsidRPr="00686357">
        <w:rPr>
          <w:rFonts w:ascii="Times New Roman" w:hAnsi="Times New Roman" w:cs="Times New Roman"/>
        </w:rPr>
        <w:t>Singapore’s acquisition of Dystar, a dyes and related solutions manufacturer for € 55 million apart from its brand, patents, technical know-how and most importantly</w:t>
      </w:r>
      <w:r w:rsidR="007D3347" w:rsidRPr="00686357">
        <w:rPr>
          <w:rFonts w:ascii="Times New Roman" w:hAnsi="Times New Roman" w:cs="Times New Roman"/>
        </w:rPr>
        <w:t xml:space="preserve"> around 21% global market share; and </w:t>
      </w:r>
      <w:r w:rsidR="00E2420C" w:rsidRPr="00686357">
        <w:rPr>
          <w:rFonts w:ascii="Times New Roman" w:hAnsi="Times New Roman" w:cs="Times New Roman"/>
        </w:rPr>
        <w:t>Ashok Minda Group</w:t>
      </w:r>
      <w:r w:rsidR="007D3347" w:rsidRPr="00686357">
        <w:rPr>
          <w:rFonts w:ascii="Times New Roman" w:hAnsi="Times New Roman" w:cs="Times New Roman"/>
        </w:rPr>
        <w:t xml:space="preserve">’s acquisition of </w:t>
      </w:r>
      <w:r w:rsidR="00E2420C" w:rsidRPr="00686357">
        <w:rPr>
          <w:rFonts w:ascii="Times New Roman" w:hAnsi="Times New Roman" w:cs="Times New Roman"/>
        </w:rPr>
        <w:t>Schenk</w:t>
      </w:r>
      <w:r w:rsidR="00846FE8" w:rsidRPr="00686357">
        <w:rPr>
          <w:rFonts w:ascii="Times New Roman" w:hAnsi="Times New Roman" w:cs="Times New Roman"/>
        </w:rPr>
        <w:t xml:space="preserve"> Plastic Solutions</w:t>
      </w:r>
      <w:r w:rsidR="00E2420C" w:rsidRPr="00686357">
        <w:rPr>
          <w:rFonts w:ascii="Times New Roman" w:hAnsi="Times New Roman" w:cs="Times New Roman"/>
        </w:rPr>
        <w:t xml:space="preserve"> </w:t>
      </w:r>
      <w:r w:rsidR="007D3347" w:rsidRPr="00686357">
        <w:rPr>
          <w:rFonts w:ascii="Times New Roman" w:hAnsi="Times New Roman" w:cs="Times New Roman"/>
        </w:rPr>
        <w:t xml:space="preserve">for an </w:t>
      </w:r>
      <w:r w:rsidR="00E2420C" w:rsidRPr="00686357">
        <w:rPr>
          <w:rFonts w:ascii="Times New Roman" w:hAnsi="Times New Roman" w:cs="Times New Roman"/>
        </w:rPr>
        <w:t>undisclosed amount</w:t>
      </w:r>
      <w:r w:rsidR="007D3347" w:rsidRPr="00686357">
        <w:rPr>
          <w:rFonts w:ascii="Times New Roman" w:hAnsi="Times New Roman" w:cs="Times New Roman"/>
        </w:rPr>
        <w:t xml:space="preserve">. What is more remarkable is that Indian firms acquired these companies not during the crisis </w:t>
      </w:r>
      <w:r w:rsidR="00932F61" w:rsidRPr="00686357">
        <w:rPr>
          <w:rFonts w:ascii="Times New Roman" w:hAnsi="Times New Roman" w:cs="Times New Roman"/>
        </w:rPr>
        <w:t xml:space="preserve">years </w:t>
      </w:r>
      <w:r w:rsidR="007D3347" w:rsidRPr="00686357">
        <w:rPr>
          <w:rFonts w:ascii="Times New Roman" w:hAnsi="Times New Roman" w:cs="Times New Roman"/>
        </w:rPr>
        <w:t xml:space="preserve">but during the </w:t>
      </w:r>
      <w:r w:rsidR="007E2033" w:rsidRPr="00686357">
        <w:rPr>
          <w:rFonts w:ascii="Times New Roman" w:hAnsi="Times New Roman" w:cs="Times New Roman"/>
        </w:rPr>
        <w:t>growth</w:t>
      </w:r>
      <w:r w:rsidR="007D3347" w:rsidRPr="00686357">
        <w:rPr>
          <w:rFonts w:ascii="Times New Roman" w:hAnsi="Times New Roman" w:cs="Times New Roman"/>
        </w:rPr>
        <w:t xml:space="preserve"> </w:t>
      </w:r>
      <w:r w:rsidR="007D3347" w:rsidRPr="00686357">
        <w:rPr>
          <w:rFonts w:ascii="Times New Roman" w:hAnsi="Times New Roman" w:cs="Times New Roman"/>
        </w:rPr>
        <w:lastRenderedPageBreak/>
        <w:t xml:space="preserve">period of 2004-2005. However, not all the Indian firms could </w:t>
      </w:r>
      <w:r w:rsidR="00BB3AE5">
        <w:rPr>
          <w:rFonts w:ascii="Times New Roman" w:hAnsi="Times New Roman" w:cs="Times New Roman"/>
        </w:rPr>
        <w:t xml:space="preserve">manage to </w:t>
      </w:r>
      <w:r w:rsidR="007D3347" w:rsidRPr="00686357">
        <w:rPr>
          <w:rFonts w:ascii="Times New Roman" w:hAnsi="Times New Roman" w:cs="Times New Roman"/>
        </w:rPr>
        <w:t>turnaround the fortunes of their acquired entities as was proven by the case of Ruia Group’s investment in Bauer &amp; Schaurte, and Reliance Group’s investment in Trevira</w:t>
      </w:r>
      <w:r w:rsidR="002566AA">
        <w:rPr>
          <w:rFonts w:ascii="Times New Roman" w:hAnsi="Times New Roman" w:cs="Times New Roman"/>
        </w:rPr>
        <w:t xml:space="preserve">, both ventures </w:t>
      </w:r>
      <w:r w:rsidR="007E51D4">
        <w:rPr>
          <w:rFonts w:ascii="Times New Roman" w:hAnsi="Times New Roman" w:cs="Times New Roman"/>
        </w:rPr>
        <w:t>declared insolvency</w:t>
      </w:r>
      <w:r w:rsidR="002566AA">
        <w:rPr>
          <w:rFonts w:ascii="Times New Roman" w:hAnsi="Times New Roman" w:cs="Times New Roman"/>
        </w:rPr>
        <w:t xml:space="preserve"> by 2012</w:t>
      </w:r>
      <w:r w:rsidR="00E345C7">
        <w:rPr>
          <w:rFonts w:ascii="Times New Roman" w:hAnsi="Times New Roman" w:cs="Times New Roman"/>
        </w:rPr>
        <w:t xml:space="preserve"> (</w:t>
      </w:r>
      <w:r w:rsidR="00E345C7" w:rsidRPr="00686357">
        <w:rPr>
          <w:rFonts w:ascii="Times New Roman" w:hAnsi="Times New Roman" w:cs="Times New Roman"/>
        </w:rPr>
        <w:t xml:space="preserve">Hoffmann-Theinert </w:t>
      </w:r>
      <w:r w:rsidR="00E345C7">
        <w:rPr>
          <w:rFonts w:ascii="Times New Roman" w:hAnsi="Times New Roman" w:cs="Times New Roman"/>
        </w:rPr>
        <w:t>&amp;</w:t>
      </w:r>
      <w:r w:rsidR="00E345C7" w:rsidRPr="00686357">
        <w:rPr>
          <w:rFonts w:ascii="Times New Roman" w:hAnsi="Times New Roman" w:cs="Times New Roman"/>
        </w:rPr>
        <w:t>Wright, 2013</w:t>
      </w:r>
      <w:r w:rsidR="00E345C7">
        <w:rPr>
          <w:rFonts w:ascii="Times New Roman" w:hAnsi="Times New Roman" w:cs="Times New Roman"/>
        </w:rPr>
        <w:t>)</w:t>
      </w:r>
      <w:r w:rsidR="007D3347" w:rsidRPr="00686357">
        <w:rPr>
          <w:rFonts w:ascii="Times New Roman" w:hAnsi="Times New Roman" w:cs="Times New Roman"/>
        </w:rPr>
        <w:t xml:space="preserve">. </w:t>
      </w:r>
      <w:r w:rsidR="00932F61" w:rsidRPr="00686357">
        <w:rPr>
          <w:rFonts w:ascii="Times New Roman" w:hAnsi="Times New Roman" w:cs="Times New Roman"/>
        </w:rPr>
        <w:t xml:space="preserve">Even though scholars believe that targeting insolvent or ailing companies is a major mistake (Williamson </w:t>
      </w:r>
      <w:r w:rsidR="00A224FC">
        <w:rPr>
          <w:rFonts w:ascii="Times New Roman" w:hAnsi="Times New Roman" w:cs="Times New Roman"/>
        </w:rPr>
        <w:t>&amp;</w:t>
      </w:r>
      <w:r w:rsidR="00932F61" w:rsidRPr="00686357">
        <w:rPr>
          <w:rFonts w:ascii="Times New Roman" w:hAnsi="Times New Roman" w:cs="Times New Roman"/>
        </w:rPr>
        <w:t xml:space="preserve"> Raman, 2011), an investment in a distressed business might win the support and goodwill of the local community</w:t>
      </w:r>
      <w:r w:rsidR="00580606" w:rsidRPr="00686357">
        <w:rPr>
          <w:rFonts w:ascii="Times New Roman" w:hAnsi="Times New Roman" w:cs="Times New Roman"/>
        </w:rPr>
        <w:t xml:space="preserve"> (Hoffmann-Theinert </w:t>
      </w:r>
      <w:r w:rsidR="00486A49">
        <w:rPr>
          <w:rFonts w:ascii="Times New Roman" w:hAnsi="Times New Roman" w:cs="Times New Roman"/>
        </w:rPr>
        <w:t>&amp;</w:t>
      </w:r>
      <w:r w:rsidR="00580606" w:rsidRPr="00686357">
        <w:rPr>
          <w:rFonts w:ascii="Times New Roman" w:hAnsi="Times New Roman" w:cs="Times New Roman"/>
        </w:rPr>
        <w:t>Wright, 2013)</w:t>
      </w:r>
      <w:r w:rsidR="00053BF3" w:rsidRPr="00686357">
        <w:rPr>
          <w:rFonts w:ascii="Times New Roman" w:hAnsi="Times New Roman" w:cs="Times New Roman"/>
        </w:rPr>
        <w:t>, t</w:t>
      </w:r>
      <w:r w:rsidR="00932F61" w:rsidRPr="00686357">
        <w:rPr>
          <w:rFonts w:ascii="Times New Roman" w:hAnsi="Times New Roman" w:cs="Times New Roman"/>
        </w:rPr>
        <w:t>hus, providing a</w:t>
      </w:r>
      <w:r w:rsidR="00053BF3" w:rsidRPr="00686357">
        <w:rPr>
          <w:rFonts w:ascii="Times New Roman" w:hAnsi="Times New Roman" w:cs="Times New Roman"/>
        </w:rPr>
        <w:t xml:space="preserve"> much needed</w:t>
      </w:r>
      <w:r w:rsidR="00932F61" w:rsidRPr="00686357">
        <w:rPr>
          <w:rFonts w:ascii="Times New Roman" w:hAnsi="Times New Roman" w:cs="Times New Roman"/>
        </w:rPr>
        <w:t xml:space="preserve"> impetus to the local population to recognize the br</w:t>
      </w:r>
      <w:r w:rsidR="00971220" w:rsidRPr="00686357">
        <w:rPr>
          <w:rFonts w:ascii="Times New Roman" w:hAnsi="Times New Roman" w:cs="Times New Roman"/>
        </w:rPr>
        <w:t xml:space="preserve">and and name of a foreign firm, and help to negate the costs associated with a greenfield project. </w:t>
      </w:r>
    </w:p>
    <w:p w:rsidR="00B51494" w:rsidRPr="00686357" w:rsidRDefault="00B51494" w:rsidP="00503CD1">
      <w:pPr>
        <w:autoSpaceDE w:val="0"/>
        <w:autoSpaceDN w:val="0"/>
        <w:adjustRightInd w:val="0"/>
        <w:spacing w:after="0" w:line="480" w:lineRule="auto"/>
        <w:jc w:val="both"/>
        <w:rPr>
          <w:rFonts w:ascii="Times New Roman" w:hAnsi="Times New Roman" w:cs="Times New Roman"/>
        </w:rPr>
      </w:pPr>
    </w:p>
    <w:p w:rsidR="00BA0321" w:rsidRPr="00686357" w:rsidRDefault="00BA0321" w:rsidP="00503CD1">
      <w:pPr>
        <w:autoSpaceDE w:val="0"/>
        <w:autoSpaceDN w:val="0"/>
        <w:adjustRightInd w:val="0"/>
        <w:spacing w:after="0" w:line="480" w:lineRule="auto"/>
        <w:jc w:val="both"/>
        <w:rPr>
          <w:rFonts w:ascii="Times New Roman" w:hAnsi="Times New Roman" w:cs="Times New Roman"/>
        </w:rPr>
      </w:pPr>
      <w:r w:rsidRPr="00686357">
        <w:rPr>
          <w:rFonts w:ascii="Times New Roman" w:hAnsi="Times New Roman" w:cs="Times New Roman"/>
        </w:rPr>
        <w:t xml:space="preserve">Analysis of Indian OFDI in Germany also revealed that Indian investors sought access to advanced markets and strategic assets to speed through resource accumulation process. For example, Suzlon’s acquisition of REpower instantly provided them with the status of a global player. </w:t>
      </w:r>
      <w:r w:rsidR="00D44D23" w:rsidRPr="00686357">
        <w:rPr>
          <w:rFonts w:ascii="Times New Roman" w:hAnsi="Times New Roman" w:cs="Times New Roman"/>
        </w:rPr>
        <w:t>Additionally, Germany has graduated from solely a gateway for overseas investment in Europe to also being a springboard for India’s investment in the rest of the world, including the untapped and non-English speaking geography of Eastern European markets.</w:t>
      </w:r>
    </w:p>
    <w:p w:rsidR="00D44D23" w:rsidRPr="00686357" w:rsidRDefault="00D44D23" w:rsidP="00503CD1">
      <w:pPr>
        <w:autoSpaceDE w:val="0"/>
        <w:autoSpaceDN w:val="0"/>
        <w:adjustRightInd w:val="0"/>
        <w:spacing w:after="0" w:line="480" w:lineRule="auto"/>
        <w:jc w:val="both"/>
        <w:rPr>
          <w:rFonts w:ascii="Times New Roman" w:hAnsi="Times New Roman" w:cs="Times New Roman"/>
        </w:rPr>
      </w:pPr>
    </w:p>
    <w:p w:rsidR="00D44D23" w:rsidRPr="00686357" w:rsidRDefault="00D44D23" w:rsidP="00503CD1">
      <w:pPr>
        <w:autoSpaceDE w:val="0"/>
        <w:autoSpaceDN w:val="0"/>
        <w:adjustRightInd w:val="0"/>
        <w:spacing w:after="0" w:line="480" w:lineRule="auto"/>
        <w:jc w:val="both"/>
        <w:rPr>
          <w:rFonts w:ascii="Times New Roman" w:hAnsi="Times New Roman" w:cs="Times New Roman"/>
        </w:rPr>
      </w:pPr>
      <w:r w:rsidRPr="00686357">
        <w:rPr>
          <w:rFonts w:ascii="Times New Roman" w:hAnsi="Times New Roman" w:cs="Times New Roman"/>
        </w:rPr>
        <w:t>Even though India’s overseas investments have a relative shorter history as compared to, for example, China, Indian firms have emerged as bold, proactive an</w:t>
      </w:r>
      <w:r w:rsidR="00E5108D" w:rsidRPr="00686357">
        <w:rPr>
          <w:rFonts w:ascii="Times New Roman" w:hAnsi="Times New Roman" w:cs="Times New Roman"/>
        </w:rPr>
        <w:t xml:space="preserve">d competitive investors in Germany. </w:t>
      </w:r>
    </w:p>
    <w:p w:rsidR="00BA0321" w:rsidRPr="00686357" w:rsidRDefault="00BA0321" w:rsidP="00503CD1">
      <w:pPr>
        <w:autoSpaceDE w:val="0"/>
        <w:autoSpaceDN w:val="0"/>
        <w:adjustRightInd w:val="0"/>
        <w:spacing w:after="0" w:line="480" w:lineRule="auto"/>
        <w:jc w:val="both"/>
        <w:rPr>
          <w:rFonts w:ascii="Times New Roman" w:hAnsi="Times New Roman" w:cs="Times New Roman"/>
        </w:rPr>
      </w:pPr>
    </w:p>
    <w:p w:rsidR="004E4075" w:rsidRPr="00686357" w:rsidRDefault="00BA0321" w:rsidP="00503CD1">
      <w:pPr>
        <w:autoSpaceDE w:val="0"/>
        <w:autoSpaceDN w:val="0"/>
        <w:adjustRightInd w:val="0"/>
        <w:spacing w:after="0" w:line="480" w:lineRule="auto"/>
        <w:jc w:val="both"/>
        <w:rPr>
          <w:rFonts w:ascii="Times New Roman" w:hAnsi="Times New Roman" w:cs="Times New Roman"/>
          <w:b/>
        </w:rPr>
      </w:pPr>
      <w:r w:rsidRPr="00686357">
        <w:rPr>
          <w:rFonts w:ascii="Times New Roman" w:hAnsi="Times New Roman" w:cs="Times New Roman"/>
          <w:b/>
        </w:rPr>
        <w:t>Summary</w:t>
      </w:r>
      <w:r w:rsidR="00CF28E5">
        <w:rPr>
          <w:rFonts w:ascii="Times New Roman" w:hAnsi="Times New Roman" w:cs="Times New Roman"/>
          <w:b/>
        </w:rPr>
        <w:t xml:space="preserve"> and Conclusion</w:t>
      </w:r>
    </w:p>
    <w:p w:rsidR="00BA0321" w:rsidRPr="00686357" w:rsidRDefault="00BA0321" w:rsidP="00503CD1">
      <w:pPr>
        <w:autoSpaceDE w:val="0"/>
        <w:autoSpaceDN w:val="0"/>
        <w:adjustRightInd w:val="0"/>
        <w:spacing w:after="0" w:line="480" w:lineRule="auto"/>
        <w:jc w:val="both"/>
        <w:rPr>
          <w:rFonts w:ascii="Times New Roman" w:hAnsi="Times New Roman" w:cs="Times New Roman"/>
        </w:rPr>
      </w:pPr>
    </w:p>
    <w:p w:rsidR="00BA0321" w:rsidRPr="00686357" w:rsidRDefault="00E5108D" w:rsidP="00503CD1">
      <w:pPr>
        <w:autoSpaceDE w:val="0"/>
        <w:autoSpaceDN w:val="0"/>
        <w:adjustRightInd w:val="0"/>
        <w:spacing w:after="0" w:line="480" w:lineRule="auto"/>
        <w:jc w:val="both"/>
        <w:rPr>
          <w:rFonts w:ascii="Times New Roman" w:hAnsi="Times New Roman" w:cs="Times New Roman"/>
        </w:rPr>
      </w:pPr>
      <w:r w:rsidRPr="00686357">
        <w:rPr>
          <w:rFonts w:ascii="Times New Roman" w:hAnsi="Times New Roman" w:cs="Times New Roman"/>
        </w:rPr>
        <w:t xml:space="preserve">Although, Indian investments continue to grow considerably in Germany, they have been facing overwhelming odds to operate in the country. Apart from the differences in the market environment, language barriers, high operating costs, regulatory barriers, Indian firms compete with not only the firms from developed markets but also firms from other emerging markets. This complex dynamics of competition has opened three fronts for Indian firms. Competition with firms from developed markets in </w:t>
      </w:r>
      <w:r w:rsidRPr="00686357">
        <w:rPr>
          <w:rFonts w:ascii="Times New Roman" w:hAnsi="Times New Roman" w:cs="Times New Roman"/>
        </w:rPr>
        <w:lastRenderedPageBreak/>
        <w:t xml:space="preserve">the domestic </w:t>
      </w:r>
      <w:r w:rsidR="00552273">
        <w:rPr>
          <w:rFonts w:ascii="Times New Roman" w:hAnsi="Times New Roman" w:cs="Times New Roman"/>
        </w:rPr>
        <w:t>market</w:t>
      </w:r>
      <w:r w:rsidRPr="00686357">
        <w:rPr>
          <w:rFonts w:ascii="Times New Roman" w:hAnsi="Times New Roman" w:cs="Times New Roman"/>
        </w:rPr>
        <w:t xml:space="preserve">, as well as both from the firms from the developed markets and other emerging markets, such as China, in the overseas market, thus forcing the Indian firms to stretch their resources to the maximum, putting an overall strain on their budget and performance. </w:t>
      </w:r>
    </w:p>
    <w:p w:rsidR="00C34910" w:rsidRPr="00686357" w:rsidRDefault="00C34910" w:rsidP="00503CD1">
      <w:pPr>
        <w:autoSpaceDE w:val="0"/>
        <w:autoSpaceDN w:val="0"/>
        <w:adjustRightInd w:val="0"/>
        <w:spacing w:after="0" w:line="480" w:lineRule="auto"/>
        <w:jc w:val="both"/>
        <w:rPr>
          <w:rFonts w:ascii="Times New Roman" w:hAnsi="Times New Roman" w:cs="Times New Roman"/>
        </w:rPr>
      </w:pPr>
    </w:p>
    <w:p w:rsidR="002F3C80" w:rsidRDefault="002F3C80" w:rsidP="00503CD1">
      <w:pPr>
        <w:spacing w:after="0" w:line="480" w:lineRule="auto"/>
        <w:jc w:val="both"/>
        <w:rPr>
          <w:rFonts w:ascii="Times New Roman" w:hAnsi="Times New Roman" w:cs="Times New Roman"/>
        </w:rPr>
      </w:pPr>
      <w:r w:rsidRPr="00686357">
        <w:rPr>
          <w:rFonts w:ascii="Times New Roman" w:hAnsi="Times New Roman" w:cs="Times New Roman"/>
        </w:rPr>
        <w:t>A</w:t>
      </w:r>
      <w:r w:rsidR="005D52F1" w:rsidRPr="00686357">
        <w:rPr>
          <w:rFonts w:ascii="Times New Roman" w:hAnsi="Times New Roman" w:cs="Times New Roman"/>
        </w:rPr>
        <w:t xml:space="preserve">nother </w:t>
      </w:r>
      <w:r w:rsidRPr="00686357">
        <w:rPr>
          <w:rFonts w:ascii="Times New Roman" w:hAnsi="Times New Roman" w:cs="Times New Roman"/>
        </w:rPr>
        <w:t xml:space="preserve">major challenge </w:t>
      </w:r>
      <w:r w:rsidR="005D52F1" w:rsidRPr="00686357">
        <w:rPr>
          <w:rFonts w:ascii="Times New Roman" w:hAnsi="Times New Roman" w:cs="Times New Roman"/>
        </w:rPr>
        <w:t xml:space="preserve">that has emerged </w:t>
      </w:r>
      <w:r w:rsidRPr="00686357">
        <w:rPr>
          <w:rFonts w:ascii="Times New Roman" w:hAnsi="Times New Roman" w:cs="Times New Roman"/>
        </w:rPr>
        <w:t xml:space="preserve">for Indian </w:t>
      </w:r>
      <w:r w:rsidR="00E5108D" w:rsidRPr="00686357">
        <w:rPr>
          <w:rFonts w:ascii="Times New Roman" w:hAnsi="Times New Roman" w:cs="Times New Roman"/>
        </w:rPr>
        <w:t>firms</w:t>
      </w:r>
      <w:r w:rsidRPr="00686357">
        <w:rPr>
          <w:rFonts w:ascii="Times New Roman" w:hAnsi="Times New Roman" w:cs="Times New Roman"/>
        </w:rPr>
        <w:t xml:space="preserve"> is to build a strong and positive brand image. So far, their success has mostly been based on manufacturing excellence, low cost production and economies of scale while they have not yet successfully built a strong brand image. Nargundkar </w:t>
      </w:r>
      <w:r w:rsidR="00170C59">
        <w:rPr>
          <w:rFonts w:ascii="Times New Roman" w:hAnsi="Times New Roman" w:cs="Times New Roman"/>
        </w:rPr>
        <w:t>and</w:t>
      </w:r>
      <w:r w:rsidRPr="00686357">
        <w:rPr>
          <w:rFonts w:ascii="Times New Roman" w:hAnsi="Times New Roman" w:cs="Times New Roman"/>
        </w:rPr>
        <w:t xml:space="preserve"> Bajaj (2002, p. 71) state that “at best, low-cost services can be an entry point into developed-world markets. But </w:t>
      </w:r>
      <w:r w:rsidR="00840EAE" w:rsidRPr="00686357">
        <w:rPr>
          <w:rFonts w:ascii="Times New Roman" w:hAnsi="Times New Roman" w:cs="Times New Roman"/>
        </w:rPr>
        <w:t>companies</w:t>
      </w:r>
      <w:r w:rsidRPr="00686357">
        <w:rPr>
          <w:rFonts w:ascii="Times New Roman" w:hAnsi="Times New Roman" w:cs="Times New Roman"/>
        </w:rPr>
        <w:t xml:space="preserve"> must leverage the entry to graduate to high value service offerings”. As a consequence, firms</w:t>
      </w:r>
      <w:r w:rsidR="00BA0321" w:rsidRPr="00686357">
        <w:rPr>
          <w:rFonts w:ascii="Times New Roman" w:hAnsi="Times New Roman" w:cs="Times New Roman"/>
        </w:rPr>
        <w:t xml:space="preserve"> from </w:t>
      </w:r>
      <w:r w:rsidR="00255034">
        <w:rPr>
          <w:rFonts w:ascii="Times New Roman" w:hAnsi="Times New Roman" w:cs="Times New Roman"/>
        </w:rPr>
        <w:t>emerging markets like India</w:t>
      </w:r>
      <w:r w:rsidRPr="00686357">
        <w:rPr>
          <w:rFonts w:ascii="Times New Roman" w:hAnsi="Times New Roman" w:cs="Times New Roman"/>
        </w:rPr>
        <w:t xml:space="preserve"> have to place more emphasis on marketing and increasing their brand image to succeed in international markets (Kreppel</w:t>
      </w:r>
      <w:r w:rsidRPr="00686357">
        <w:rPr>
          <w:rFonts w:ascii="Times New Roman" w:hAnsi="Times New Roman" w:cs="Times New Roman"/>
          <w:lang w:val="en-GB"/>
        </w:rPr>
        <w:t xml:space="preserve"> </w:t>
      </w:r>
      <w:r w:rsidR="00A224FC">
        <w:rPr>
          <w:rFonts w:ascii="Times New Roman" w:hAnsi="Times New Roman" w:cs="Times New Roman"/>
          <w:lang w:val="en-GB"/>
        </w:rPr>
        <w:t>&amp;</w:t>
      </w:r>
      <w:r w:rsidRPr="00686357">
        <w:rPr>
          <w:rFonts w:ascii="Times New Roman" w:hAnsi="Times New Roman" w:cs="Times New Roman"/>
          <w:lang w:val="en-GB"/>
        </w:rPr>
        <w:t xml:space="preserve"> Holtbrügge, 2012).</w:t>
      </w:r>
      <w:r w:rsidRPr="00686357">
        <w:rPr>
          <w:rFonts w:ascii="Times New Roman" w:hAnsi="Times New Roman" w:cs="Times New Roman"/>
        </w:rPr>
        <w:t xml:space="preserve"> </w:t>
      </w:r>
    </w:p>
    <w:p w:rsidR="00CC18D8" w:rsidRPr="00686357" w:rsidRDefault="00CC18D8" w:rsidP="00503CD1">
      <w:pPr>
        <w:spacing w:after="0" w:line="480" w:lineRule="auto"/>
        <w:jc w:val="both"/>
        <w:rPr>
          <w:rFonts w:ascii="Times New Roman" w:hAnsi="Times New Roman" w:cs="Times New Roman"/>
        </w:rPr>
      </w:pPr>
    </w:p>
    <w:p w:rsidR="002F3C80" w:rsidRDefault="002F3C80" w:rsidP="00503CD1">
      <w:pPr>
        <w:spacing w:after="0" w:line="480" w:lineRule="auto"/>
        <w:jc w:val="both"/>
        <w:rPr>
          <w:rFonts w:ascii="Times New Roman" w:hAnsi="Times New Roman" w:cs="Times New Roman"/>
        </w:rPr>
      </w:pPr>
      <w:r w:rsidRPr="00686357">
        <w:rPr>
          <w:rFonts w:ascii="Times New Roman" w:hAnsi="Times New Roman" w:cs="Times New Roman"/>
        </w:rPr>
        <w:t xml:space="preserve">Moreover, </w:t>
      </w:r>
      <w:r w:rsidR="00E5108D" w:rsidRPr="00686357">
        <w:rPr>
          <w:rFonts w:ascii="Times New Roman" w:hAnsi="Times New Roman" w:cs="Times New Roman"/>
        </w:rPr>
        <w:t>firms</w:t>
      </w:r>
      <w:r w:rsidRPr="00686357">
        <w:rPr>
          <w:rFonts w:ascii="Times New Roman" w:hAnsi="Times New Roman" w:cs="Times New Roman"/>
        </w:rPr>
        <w:t xml:space="preserve"> from </w:t>
      </w:r>
      <w:r w:rsidR="006737AD">
        <w:rPr>
          <w:rFonts w:ascii="Times New Roman" w:hAnsi="Times New Roman" w:cs="Times New Roman"/>
        </w:rPr>
        <w:t>emerging markets</w:t>
      </w:r>
      <w:r w:rsidRPr="00686357">
        <w:rPr>
          <w:rFonts w:ascii="Times New Roman" w:hAnsi="Times New Roman" w:cs="Times New Roman"/>
        </w:rPr>
        <w:t xml:space="preserve"> require managerial resources in order to be successful in highly competitive business environments (Child </w:t>
      </w:r>
      <w:r w:rsidR="00A224FC">
        <w:rPr>
          <w:rFonts w:ascii="Times New Roman" w:hAnsi="Times New Roman" w:cs="Times New Roman"/>
        </w:rPr>
        <w:t>&amp;</w:t>
      </w:r>
      <w:r w:rsidRPr="00686357">
        <w:rPr>
          <w:rFonts w:ascii="Times New Roman" w:hAnsi="Times New Roman" w:cs="Times New Roman"/>
        </w:rPr>
        <w:t xml:space="preserve"> Rodrigues, 2005). In this context, one of their greatest challenges is to attract qualified local employees in order to exploit and extend their own capabilities (</w:t>
      </w:r>
      <w:r w:rsidRPr="003F1E7E">
        <w:rPr>
          <w:rFonts w:ascii="Times New Roman" w:hAnsi="Times New Roman" w:cs="Times New Roman"/>
        </w:rPr>
        <w:t>Milelli et al., 2010</w:t>
      </w:r>
      <w:r w:rsidRPr="00686357">
        <w:rPr>
          <w:rFonts w:ascii="Times New Roman" w:hAnsi="Times New Roman" w:cs="Times New Roman"/>
        </w:rPr>
        <w:t xml:space="preserve">). </w:t>
      </w:r>
      <w:r w:rsidR="00C34910" w:rsidRPr="00686357">
        <w:rPr>
          <w:rFonts w:ascii="Times New Roman" w:hAnsi="Times New Roman" w:cs="Times New Roman"/>
        </w:rPr>
        <w:t>T</w:t>
      </w:r>
      <w:r w:rsidR="00C34910" w:rsidRPr="00686357">
        <w:rPr>
          <w:rFonts w:ascii="Times New Roman" w:eastAsia="Times New Roman" w:hAnsi="Times New Roman" w:cs="Times New Roman"/>
        </w:rPr>
        <w:t xml:space="preserve">o grow in Germany, Indian firms may have to endure higher costs as it is imperative to have local presence. Unlike in the U.S., where IT companies have access to a number of skilled worker visa programs to bring in inexpensive employees, in Germany and also in Europe there are very limited options. </w:t>
      </w:r>
      <w:r w:rsidR="00CA4B44" w:rsidRPr="00CA4B44">
        <w:rPr>
          <w:rFonts w:ascii="Times New Roman" w:eastAsia="Times New Roman" w:hAnsi="Times New Roman" w:cs="Times New Roman"/>
        </w:rPr>
        <w:t xml:space="preserve">Furthermore, </w:t>
      </w:r>
      <w:r w:rsidR="00085B55">
        <w:rPr>
          <w:rFonts w:ascii="Times New Roman" w:eastAsia="Times New Roman" w:hAnsi="Times New Roman" w:cs="Times New Roman"/>
        </w:rPr>
        <w:t>i</w:t>
      </w:r>
      <w:r w:rsidR="00C34910" w:rsidRPr="00CA4B44">
        <w:rPr>
          <w:rFonts w:ascii="Times New Roman" w:eastAsia="Times New Roman" w:hAnsi="Times New Roman" w:cs="Times New Roman"/>
        </w:rPr>
        <w:t>t takes a long time for comp</w:t>
      </w:r>
      <w:r w:rsidR="00CA4B44" w:rsidRPr="00CA4B44">
        <w:rPr>
          <w:rFonts w:ascii="Times New Roman" w:eastAsia="Times New Roman" w:hAnsi="Times New Roman" w:cs="Times New Roman"/>
        </w:rPr>
        <w:t xml:space="preserve">anies to hire someone in </w:t>
      </w:r>
      <w:r w:rsidR="007F775D" w:rsidRPr="00CA4B44">
        <w:rPr>
          <w:rFonts w:ascii="Times New Roman" w:eastAsia="Times New Roman" w:hAnsi="Times New Roman" w:cs="Times New Roman"/>
        </w:rPr>
        <w:t>Europe leading</w:t>
      </w:r>
      <w:r w:rsidR="00C34910" w:rsidRPr="00CA4B44">
        <w:rPr>
          <w:rFonts w:ascii="Times New Roman" w:eastAsia="Times New Roman" w:hAnsi="Times New Roman" w:cs="Times New Roman"/>
        </w:rPr>
        <w:t xml:space="preserve"> to the severe shortage of technology </w:t>
      </w:r>
      <w:r w:rsidR="0041069A" w:rsidRPr="00CA4B44">
        <w:rPr>
          <w:rFonts w:ascii="Times New Roman" w:eastAsia="Times New Roman" w:hAnsi="Times New Roman" w:cs="Times New Roman"/>
        </w:rPr>
        <w:t>professionals in</w:t>
      </w:r>
      <w:r w:rsidR="00C34910" w:rsidRPr="00CA4B44">
        <w:rPr>
          <w:rFonts w:ascii="Times New Roman" w:eastAsia="Times New Roman" w:hAnsi="Times New Roman" w:cs="Times New Roman"/>
        </w:rPr>
        <w:t xml:space="preserve"> </w:t>
      </w:r>
      <w:r w:rsidR="0041069A" w:rsidRPr="00CA4B44">
        <w:rPr>
          <w:rFonts w:ascii="Times New Roman" w:eastAsia="Times New Roman" w:hAnsi="Times New Roman" w:cs="Times New Roman"/>
        </w:rPr>
        <w:t>some European</w:t>
      </w:r>
      <w:r w:rsidR="00C34910" w:rsidRPr="00CA4B44">
        <w:rPr>
          <w:rFonts w:ascii="Times New Roman" w:eastAsia="Times New Roman" w:hAnsi="Times New Roman" w:cs="Times New Roman"/>
        </w:rPr>
        <w:t xml:space="preserve"> countries</w:t>
      </w:r>
      <w:r w:rsidR="00CA4B44" w:rsidRPr="00CA4B44">
        <w:rPr>
          <w:rFonts w:ascii="Times New Roman" w:eastAsia="Times New Roman" w:hAnsi="Times New Roman" w:cs="Times New Roman"/>
        </w:rPr>
        <w:t xml:space="preserve"> (Thoppil, 2013)</w:t>
      </w:r>
      <w:r w:rsidR="0041069A">
        <w:rPr>
          <w:rFonts w:ascii="Times New Roman" w:eastAsia="Times New Roman" w:hAnsi="Times New Roman" w:cs="Times New Roman"/>
        </w:rPr>
        <w:t xml:space="preserve">. </w:t>
      </w:r>
      <w:r w:rsidRPr="00686357">
        <w:rPr>
          <w:rFonts w:ascii="Times New Roman" w:hAnsi="Times New Roman" w:cs="Times New Roman"/>
        </w:rPr>
        <w:t>A</w:t>
      </w:r>
      <w:r w:rsidR="0041069A">
        <w:rPr>
          <w:rFonts w:ascii="Times New Roman" w:hAnsi="Times New Roman" w:cs="Times New Roman"/>
        </w:rPr>
        <w:t xml:space="preserve"> </w:t>
      </w:r>
      <w:r w:rsidRPr="00686357">
        <w:rPr>
          <w:rFonts w:ascii="Times New Roman" w:hAnsi="Times New Roman" w:cs="Times New Roman"/>
        </w:rPr>
        <w:t xml:space="preserve">key </w:t>
      </w:r>
      <w:r w:rsidR="0041069A">
        <w:rPr>
          <w:rFonts w:ascii="Times New Roman" w:hAnsi="Times New Roman" w:cs="Times New Roman"/>
        </w:rPr>
        <w:t>p</w:t>
      </w:r>
      <w:r w:rsidRPr="00686357">
        <w:rPr>
          <w:rFonts w:ascii="Times New Roman" w:hAnsi="Times New Roman" w:cs="Times New Roman"/>
        </w:rPr>
        <w:t xml:space="preserve">rerequisite for this ability is to stand out against their competitors and to be regarded as attractive employers. While this is important for companies in general, it is even more relevant for firms from </w:t>
      </w:r>
      <w:r w:rsidR="00C34910" w:rsidRPr="00686357">
        <w:rPr>
          <w:rFonts w:ascii="Times New Roman" w:hAnsi="Times New Roman" w:cs="Times New Roman"/>
        </w:rPr>
        <w:t>India,</w:t>
      </w:r>
      <w:r w:rsidRPr="00686357">
        <w:rPr>
          <w:rFonts w:ascii="Times New Roman" w:hAnsi="Times New Roman" w:cs="Times New Roman"/>
        </w:rPr>
        <w:t xml:space="preserve"> since they have been operating in developed </w:t>
      </w:r>
      <w:r w:rsidR="00C34910" w:rsidRPr="00686357">
        <w:rPr>
          <w:rFonts w:ascii="Times New Roman" w:hAnsi="Times New Roman" w:cs="Times New Roman"/>
        </w:rPr>
        <w:t>markets</w:t>
      </w:r>
      <w:r w:rsidRPr="00686357">
        <w:rPr>
          <w:rFonts w:ascii="Times New Roman" w:hAnsi="Times New Roman" w:cs="Times New Roman"/>
        </w:rPr>
        <w:t xml:space="preserve"> for only a short time and are therefore not well-known by potential employees. Moreover, </w:t>
      </w:r>
      <w:r w:rsidR="00C34910" w:rsidRPr="00686357">
        <w:rPr>
          <w:rFonts w:ascii="Times New Roman" w:hAnsi="Times New Roman" w:cs="Times New Roman"/>
        </w:rPr>
        <w:t>firms</w:t>
      </w:r>
      <w:r w:rsidRPr="00686357">
        <w:rPr>
          <w:rFonts w:ascii="Times New Roman" w:hAnsi="Times New Roman" w:cs="Times New Roman"/>
        </w:rPr>
        <w:t xml:space="preserve"> </w:t>
      </w:r>
      <w:r w:rsidR="00C34910" w:rsidRPr="00686357">
        <w:rPr>
          <w:rFonts w:ascii="Times New Roman" w:hAnsi="Times New Roman" w:cs="Times New Roman"/>
        </w:rPr>
        <w:t>from India</w:t>
      </w:r>
      <w:r w:rsidRPr="00686357">
        <w:rPr>
          <w:rFonts w:ascii="Times New Roman" w:hAnsi="Times New Roman" w:cs="Times New Roman"/>
        </w:rPr>
        <w:t xml:space="preserve"> are often faced with a negative country-of-origin image (Fetscherin </w:t>
      </w:r>
      <w:r w:rsidR="00A224FC">
        <w:rPr>
          <w:rFonts w:ascii="Times New Roman" w:hAnsi="Times New Roman" w:cs="Times New Roman"/>
        </w:rPr>
        <w:t>&amp;</w:t>
      </w:r>
      <w:r w:rsidRPr="00686357">
        <w:rPr>
          <w:rFonts w:ascii="Times New Roman" w:hAnsi="Times New Roman" w:cs="Times New Roman"/>
        </w:rPr>
        <w:t xml:space="preserve"> Toncar, 2010</w:t>
      </w:r>
      <w:r w:rsidR="00D47370">
        <w:rPr>
          <w:rFonts w:ascii="Times New Roman" w:hAnsi="Times New Roman" w:cs="Times New Roman"/>
        </w:rPr>
        <w:t xml:space="preserve">; </w:t>
      </w:r>
      <w:r w:rsidR="00D47370" w:rsidRPr="00686357">
        <w:rPr>
          <w:rFonts w:ascii="Times New Roman" w:hAnsi="Times New Roman" w:cs="Times New Roman"/>
        </w:rPr>
        <w:t>Pappu et al., 2007</w:t>
      </w:r>
      <w:r w:rsidRPr="00686357">
        <w:rPr>
          <w:rFonts w:ascii="Times New Roman" w:hAnsi="Times New Roman" w:cs="Times New Roman"/>
        </w:rPr>
        <w:t>).</w:t>
      </w:r>
    </w:p>
    <w:p w:rsidR="00A16D87" w:rsidRPr="00686357" w:rsidRDefault="00A16D87" w:rsidP="00503CD1">
      <w:pPr>
        <w:spacing w:after="0" w:line="480" w:lineRule="auto"/>
        <w:jc w:val="both"/>
        <w:rPr>
          <w:rFonts w:ascii="Times New Roman" w:hAnsi="Times New Roman" w:cs="Times New Roman"/>
        </w:rPr>
      </w:pPr>
    </w:p>
    <w:p w:rsidR="00DA1EF9" w:rsidRPr="00686357" w:rsidRDefault="00C34910" w:rsidP="00503CD1">
      <w:pPr>
        <w:pStyle w:val="NormalWeb"/>
        <w:spacing w:before="0" w:beforeAutospacing="0" w:after="0" w:afterAutospacing="0" w:line="480" w:lineRule="auto"/>
        <w:jc w:val="both"/>
        <w:rPr>
          <w:sz w:val="22"/>
          <w:szCs w:val="22"/>
        </w:rPr>
      </w:pPr>
      <w:r w:rsidRPr="00686357">
        <w:rPr>
          <w:sz w:val="22"/>
          <w:szCs w:val="22"/>
        </w:rPr>
        <w:lastRenderedPageBreak/>
        <w:t>Germany</w:t>
      </w:r>
      <w:r w:rsidR="00DA1EF9" w:rsidRPr="00686357">
        <w:rPr>
          <w:sz w:val="22"/>
          <w:szCs w:val="22"/>
        </w:rPr>
        <w:t xml:space="preserve"> is really attractive from a market standpoint as </w:t>
      </w:r>
      <w:r w:rsidRPr="00686357">
        <w:rPr>
          <w:sz w:val="22"/>
          <w:szCs w:val="22"/>
        </w:rPr>
        <w:t>it provides access to rest of the Europe. Indian firms</w:t>
      </w:r>
      <w:r w:rsidR="00DA1EF9" w:rsidRPr="00686357">
        <w:rPr>
          <w:sz w:val="22"/>
          <w:szCs w:val="22"/>
        </w:rPr>
        <w:t xml:space="preserve"> are also trying to hedge their risks by developing markets other than US. Europe </w:t>
      </w:r>
      <w:r w:rsidRPr="00686357">
        <w:rPr>
          <w:sz w:val="22"/>
          <w:szCs w:val="22"/>
        </w:rPr>
        <w:t xml:space="preserve">and Germany in particular, </w:t>
      </w:r>
      <w:r w:rsidR="00DA1EF9" w:rsidRPr="00686357">
        <w:rPr>
          <w:sz w:val="22"/>
          <w:szCs w:val="22"/>
        </w:rPr>
        <w:t xml:space="preserve">is considered as a next good region for sales as the markets are opening to outsourcing. </w:t>
      </w:r>
      <w:r w:rsidR="0050292E" w:rsidRPr="00686357">
        <w:rPr>
          <w:sz w:val="22"/>
          <w:szCs w:val="22"/>
        </w:rPr>
        <w:t xml:space="preserve">Indian firms have become more streamlined and competitive in the last decade, however, </w:t>
      </w:r>
      <w:r w:rsidR="00962B9E" w:rsidRPr="00686357">
        <w:rPr>
          <w:sz w:val="22"/>
          <w:szCs w:val="22"/>
        </w:rPr>
        <w:t>they would have to continue to be proactive, focused and better positioned to explore and exploit the opportunities that Germany has to offer in order for them to be</w:t>
      </w:r>
      <w:r w:rsidR="005228A0" w:rsidRPr="00686357">
        <w:rPr>
          <w:sz w:val="22"/>
          <w:szCs w:val="22"/>
        </w:rPr>
        <w:t xml:space="preserve">come </w:t>
      </w:r>
      <w:r w:rsidR="00962B9E" w:rsidRPr="00686357">
        <w:rPr>
          <w:sz w:val="22"/>
          <w:szCs w:val="22"/>
        </w:rPr>
        <w:t xml:space="preserve">more competitive </w:t>
      </w:r>
      <w:r w:rsidR="005228A0" w:rsidRPr="00686357">
        <w:rPr>
          <w:sz w:val="22"/>
          <w:szCs w:val="22"/>
        </w:rPr>
        <w:t>global players.</w:t>
      </w:r>
    </w:p>
    <w:p w:rsidR="00176843" w:rsidRDefault="00176843" w:rsidP="00503CD1">
      <w:pPr>
        <w:autoSpaceDE w:val="0"/>
        <w:autoSpaceDN w:val="0"/>
        <w:adjustRightInd w:val="0"/>
        <w:spacing w:after="0" w:line="480" w:lineRule="auto"/>
        <w:jc w:val="both"/>
        <w:rPr>
          <w:rFonts w:ascii="Times New Roman" w:hAnsi="Times New Roman" w:cs="Times New Roman"/>
          <w:b/>
        </w:rPr>
      </w:pPr>
    </w:p>
    <w:p w:rsidR="00176843" w:rsidRDefault="00176843" w:rsidP="00503CD1">
      <w:pPr>
        <w:autoSpaceDE w:val="0"/>
        <w:autoSpaceDN w:val="0"/>
        <w:adjustRightInd w:val="0"/>
        <w:spacing w:after="0" w:line="480" w:lineRule="auto"/>
        <w:jc w:val="both"/>
        <w:rPr>
          <w:rFonts w:ascii="Times New Roman" w:hAnsi="Times New Roman" w:cs="Times New Roman"/>
          <w:b/>
        </w:rPr>
      </w:pPr>
      <w:r w:rsidRPr="00101F20">
        <w:rPr>
          <w:rFonts w:ascii="Times New Roman" w:hAnsi="Times New Roman" w:cs="Times New Roman"/>
          <w:b/>
        </w:rPr>
        <w:t>References</w:t>
      </w:r>
    </w:p>
    <w:p w:rsidR="0021108F" w:rsidRPr="00101F20" w:rsidRDefault="0021108F" w:rsidP="00503CD1">
      <w:pPr>
        <w:autoSpaceDE w:val="0"/>
        <w:autoSpaceDN w:val="0"/>
        <w:adjustRightInd w:val="0"/>
        <w:spacing w:after="0" w:line="480" w:lineRule="auto"/>
        <w:jc w:val="both"/>
        <w:rPr>
          <w:rFonts w:ascii="Times New Roman" w:hAnsi="Times New Roman" w:cs="Times New Roman"/>
          <w:b/>
        </w:rPr>
      </w:pPr>
    </w:p>
    <w:p w:rsidR="00176843"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 xml:space="preserve">Athukorala, P.C. 2009. Outward Foreign Direct Investment from India. </w:t>
      </w:r>
      <w:r w:rsidRPr="00101F20">
        <w:rPr>
          <w:rFonts w:ascii="Times New Roman" w:hAnsi="Times New Roman" w:cs="Times New Roman"/>
          <w:i/>
        </w:rPr>
        <w:t>Asian Development Review</w:t>
      </w:r>
      <w:r w:rsidRPr="00101F20">
        <w:rPr>
          <w:rFonts w:ascii="Times New Roman" w:hAnsi="Times New Roman" w:cs="Times New Roman"/>
        </w:rPr>
        <w:t>, 26(2): 125-153.</w:t>
      </w:r>
    </w:p>
    <w:p w:rsidR="002D221F" w:rsidRDefault="002D221F" w:rsidP="00503CD1">
      <w:pPr>
        <w:autoSpaceDE w:val="0"/>
        <w:autoSpaceDN w:val="0"/>
        <w:adjustRightInd w:val="0"/>
        <w:spacing w:after="0" w:line="480" w:lineRule="auto"/>
        <w:jc w:val="both"/>
        <w:rPr>
          <w:rFonts w:ascii="Times New Roman" w:hAnsi="Times New Roman" w:cs="Times New Roman"/>
        </w:rPr>
      </w:pPr>
    </w:p>
    <w:p w:rsidR="00F47889" w:rsidRPr="00F47889" w:rsidRDefault="00F47889" w:rsidP="00503CD1">
      <w:pPr>
        <w:autoSpaceDE w:val="0"/>
        <w:autoSpaceDN w:val="0"/>
        <w:adjustRightInd w:val="0"/>
        <w:spacing w:after="0" w:line="480" w:lineRule="auto"/>
        <w:jc w:val="both"/>
        <w:rPr>
          <w:rFonts w:ascii="Times New Roman" w:hAnsi="Times New Roman" w:cs="Times New Roman"/>
        </w:rPr>
      </w:pPr>
      <w:r w:rsidRPr="00F47889">
        <w:rPr>
          <w:rFonts w:ascii="Times New Roman" w:hAnsi="Times New Roman" w:cs="Times New Roman"/>
        </w:rPr>
        <w:t>Berning, S.</w:t>
      </w:r>
      <w:r>
        <w:rPr>
          <w:rFonts w:ascii="Times New Roman" w:hAnsi="Times New Roman" w:cs="Times New Roman"/>
        </w:rPr>
        <w:t>,</w:t>
      </w:r>
      <w:r w:rsidRPr="00F47889">
        <w:rPr>
          <w:rFonts w:ascii="Times New Roman" w:hAnsi="Times New Roman" w:cs="Times New Roman"/>
        </w:rPr>
        <w:t xml:space="preserve"> </w:t>
      </w:r>
      <w:r>
        <w:rPr>
          <w:rFonts w:ascii="Times New Roman" w:hAnsi="Times New Roman" w:cs="Times New Roman"/>
        </w:rPr>
        <w:t>&amp;</w:t>
      </w:r>
      <w:r w:rsidRPr="00F47889">
        <w:rPr>
          <w:rFonts w:ascii="Times New Roman" w:hAnsi="Times New Roman" w:cs="Times New Roman"/>
        </w:rPr>
        <w:t xml:space="preserve"> Holtbrügge, D. 2012. Chinese outward foreign direct investment – A challenge for traditional internationalization theories? </w:t>
      </w:r>
      <w:r w:rsidRPr="00F47889">
        <w:rPr>
          <w:rFonts w:ascii="Times New Roman" w:hAnsi="Times New Roman" w:cs="Times New Roman"/>
          <w:i/>
        </w:rPr>
        <w:t>Journal für Betriebswirt-schaft</w:t>
      </w:r>
      <w:r w:rsidRPr="00F47889">
        <w:rPr>
          <w:rFonts w:ascii="Times New Roman" w:hAnsi="Times New Roman" w:cs="Times New Roman"/>
        </w:rPr>
        <w:t>, 62(3/4)</w:t>
      </w:r>
      <w:r>
        <w:rPr>
          <w:rFonts w:ascii="Times New Roman" w:hAnsi="Times New Roman" w:cs="Times New Roman"/>
        </w:rPr>
        <w:t>:</w:t>
      </w:r>
      <w:r w:rsidRPr="00F47889">
        <w:rPr>
          <w:rFonts w:ascii="Times New Roman" w:hAnsi="Times New Roman" w:cs="Times New Roman"/>
        </w:rPr>
        <w:t xml:space="preserve"> 169-224.</w:t>
      </w:r>
    </w:p>
    <w:p w:rsidR="0021108F" w:rsidRPr="00101F20" w:rsidRDefault="0021108F" w:rsidP="00503CD1">
      <w:pPr>
        <w:autoSpaceDE w:val="0"/>
        <w:autoSpaceDN w:val="0"/>
        <w:adjustRightInd w:val="0"/>
        <w:spacing w:after="0" w:line="480" w:lineRule="auto"/>
        <w:jc w:val="both"/>
        <w:rPr>
          <w:rFonts w:ascii="Times New Roman" w:hAnsi="Times New Roman" w:cs="Times New Roman"/>
        </w:rPr>
      </w:pPr>
    </w:p>
    <w:p w:rsidR="00176843"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Bhutani, J. 2007. Study on FDI Outflow and Role of Manufacturing in the Mergers and Acquisitions front. Associated Chambers of Commerce and Industry, Research Bureau, 2007.</w:t>
      </w:r>
    </w:p>
    <w:p w:rsidR="0021108F" w:rsidRDefault="0021108F" w:rsidP="00503CD1">
      <w:pPr>
        <w:autoSpaceDE w:val="0"/>
        <w:autoSpaceDN w:val="0"/>
        <w:adjustRightInd w:val="0"/>
        <w:spacing w:after="0" w:line="480" w:lineRule="auto"/>
        <w:jc w:val="both"/>
        <w:rPr>
          <w:rFonts w:ascii="Times New Roman" w:hAnsi="Times New Roman" w:cs="Times New Roman"/>
        </w:rPr>
      </w:pP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 xml:space="preserve">Charlie, A. 2012. </w:t>
      </w:r>
      <w:r w:rsidRPr="00101F20">
        <w:rPr>
          <w:rFonts w:ascii="Times New Roman" w:hAnsi="Times New Roman" w:cs="Times New Roman"/>
          <w:i/>
        </w:rPr>
        <w:t>Indian companies in the European Union: Reigniting economic growth</w:t>
      </w:r>
      <w:r w:rsidRPr="00101F20">
        <w:rPr>
          <w:rFonts w:ascii="Times New Roman" w:hAnsi="Times New Roman" w:cs="Times New Roman"/>
        </w:rPr>
        <w:t xml:space="preserve">. Brussels: EICC. </w:t>
      </w: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 xml:space="preserve">Child, J., &amp; Rodrigues, S.B. 2005. The Internationalization of Chinese Firms: A Case for Theoretical Extension? </w:t>
      </w:r>
      <w:r w:rsidRPr="00101F20">
        <w:rPr>
          <w:rFonts w:ascii="Times New Roman" w:hAnsi="Times New Roman" w:cs="Times New Roman"/>
          <w:i/>
        </w:rPr>
        <w:t>Management and Organization Review</w:t>
      </w:r>
      <w:r w:rsidRPr="00101F20">
        <w:rPr>
          <w:rFonts w:ascii="Times New Roman" w:hAnsi="Times New Roman" w:cs="Times New Roman"/>
        </w:rPr>
        <w:t>, 1(3): 381-410.</w:t>
      </w: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p>
    <w:p w:rsidR="00176843" w:rsidRPr="00735124" w:rsidRDefault="00176843" w:rsidP="00503CD1">
      <w:pPr>
        <w:autoSpaceDE w:val="0"/>
        <w:autoSpaceDN w:val="0"/>
        <w:adjustRightInd w:val="0"/>
        <w:spacing w:after="0" w:line="480" w:lineRule="auto"/>
        <w:jc w:val="both"/>
        <w:rPr>
          <w:rFonts w:ascii="Times New Roman" w:hAnsi="Times New Roman" w:cs="Times New Roman"/>
        </w:rPr>
      </w:pPr>
      <w:r w:rsidRPr="00735124">
        <w:rPr>
          <w:rFonts w:ascii="Times New Roman" w:hAnsi="Times New Roman" w:cs="Times New Roman"/>
        </w:rPr>
        <w:t xml:space="preserve">Chowdhury, M.B. 2011. India’s outward foreign direct investment: closed doors to open souk. </w:t>
      </w:r>
      <w:hyperlink r:id="rId11" w:history="1">
        <w:r w:rsidR="000C38FE" w:rsidRPr="00735124">
          <w:rPr>
            <w:rStyle w:val="Hyperlink"/>
            <w:rFonts w:ascii="Times New Roman" w:hAnsi="Times New Roman" w:cs="Times New Roman"/>
            <w:color w:val="auto"/>
            <w:u w:val="none"/>
          </w:rPr>
          <w:t>http://mpra.ub.uni-muenchen.de/32828/1/MPRA_paper_32828.pdf. Accessed 17 January 2014</w:t>
        </w:r>
      </w:hyperlink>
      <w:r w:rsidRPr="00735124">
        <w:rPr>
          <w:rFonts w:ascii="Times New Roman" w:hAnsi="Times New Roman" w:cs="Times New Roman"/>
        </w:rPr>
        <w:t>.</w:t>
      </w:r>
    </w:p>
    <w:p w:rsidR="000C38FE" w:rsidRDefault="000C38FE" w:rsidP="00503CD1">
      <w:pPr>
        <w:autoSpaceDE w:val="0"/>
        <w:autoSpaceDN w:val="0"/>
        <w:adjustRightInd w:val="0"/>
        <w:spacing w:after="0" w:line="480" w:lineRule="auto"/>
        <w:jc w:val="both"/>
        <w:rPr>
          <w:rFonts w:ascii="Times New Roman" w:hAnsi="Times New Roman" w:cs="Times New Roman"/>
        </w:rPr>
      </w:pPr>
    </w:p>
    <w:p w:rsidR="000C38FE" w:rsidRPr="002C4700" w:rsidRDefault="000C38FE" w:rsidP="00503CD1">
      <w:pPr>
        <w:autoSpaceDE w:val="0"/>
        <w:autoSpaceDN w:val="0"/>
        <w:adjustRightInd w:val="0"/>
        <w:spacing w:after="0" w:line="480" w:lineRule="auto"/>
        <w:jc w:val="both"/>
        <w:rPr>
          <w:rFonts w:ascii="Times New Roman" w:hAnsi="Times New Roman" w:cs="Times New Roman"/>
        </w:rPr>
      </w:pPr>
      <w:r w:rsidRPr="001E5276">
        <w:rPr>
          <w:rFonts w:ascii="Times New Roman" w:hAnsi="Times New Roman" w:cs="Times New Roman"/>
          <w:lang w:val="de-DE"/>
        </w:rPr>
        <w:lastRenderedPageBreak/>
        <w:t xml:space="preserve">Dafne. 2014. </w:t>
      </w:r>
      <w:r w:rsidRPr="000C38FE">
        <w:rPr>
          <w:rFonts w:ascii="Times New Roman" w:hAnsi="Times New Roman" w:cs="Times New Roman"/>
          <w:lang w:val="de-DE"/>
        </w:rPr>
        <w:t>Dafne</w:t>
      </w:r>
      <w:r w:rsidR="001E5276">
        <w:rPr>
          <w:rFonts w:ascii="Times New Roman" w:hAnsi="Times New Roman" w:cs="Times New Roman"/>
          <w:lang w:val="de-DE"/>
        </w:rPr>
        <w:t>: Bureau Van Dijk</w:t>
      </w:r>
      <w:r w:rsidRPr="000C38FE">
        <w:rPr>
          <w:rFonts w:ascii="Times New Roman" w:hAnsi="Times New Roman" w:cs="Times New Roman"/>
          <w:lang w:val="de-DE"/>
        </w:rPr>
        <w:t xml:space="preserve">, Jahresabschlüsse deutscher Unternehmen. </w:t>
      </w:r>
      <w:r w:rsidRPr="002C4700">
        <w:rPr>
          <w:rFonts w:ascii="Times New Roman" w:hAnsi="Times New Roman" w:cs="Times New Roman"/>
        </w:rPr>
        <w:t>Accessed 20 Ja</w:t>
      </w:r>
      <w:r w:rsidR="00735124" w:rsidRPr="002C4700">
        <w:rPr>
          <w:rFonts w:ascii="Times New Roman" w:hAnsi="Times New Roman" w:cs="Times New Roman"/>
        </w:rPr>
        <w:t>n</w:t>
      </w:r>
      <w:r w:rsidRPr="002C4700">
        <w:rPr>
          <w:rFonts w:ascii="Times New Roman" w:hAnsi="Times New Roman" w:cs="Times New Roman"/>
        </w:rPr>
        <w:t>uary 2014.</w:t>
      </w:r>
    </w:p>
    <w:p w:rsidR="002C6A19" w:rsidRPr="002C4700" w:rsidRDefault="002C6A19" w:rsidP="00503CD1">
      <w:pPr>
        <w:autoSpaceDE w:val="0"/>
        <w:autoSpaceDN w:val="0"/>
        <w:adjustRightInd w:val="0"/>
        <w:spacing w:after="0" w:line="480" w:lineRule="auto"/>
        <w:jc w:val="both"/>
        <w:rPr>
          <w:rFonts w:ascii="Times New Roman" w:hAnsi="Times New Roman" w:cs="Times New Roman"/>
        </w:rPr>
      </w:pPr>
    </w:p>
    <w:p w:rsidR="002C6A19" w:rsidRPr="002C6A19" w:rsidRDefault="002C6A19" w:rsidP="00503CD1">
      <w:pPr>
        <w:spacing w:after="0" w:line="480" w:lineRule="auto"/>
        <w:jc w:val="both"/>
        <w:rPr>
          <w:rFonts w:ascii="Times New Roman" w:hAnsi="Times New Roman" w:cs="Times New Roman"/>
        </w:rPr>
      </w:pPr>
      <w:r w:rsidRPr="005828DD">
        <w:rPr>
          <w:rFonts w:ascii="Times New Roman" w:hAnsi="Times New Roman" w:cs="Times New Roman"/>
          <w:lang w:val="de-DE"/>
        </w:rPr>
        <w:t xml:space="preserve">De Beule, F., &amp; Van Den Bulcke, D. 2012. </w:t>
      </w:r>
      <w:r w:rsidRPr="001E5276">
        <w:rPr>
          <w:rFonts w:ascii="Times New Roman" w:eastAsia="Times New Roman" w:hAnsi="Times New Roman" w:cs="Times New Roman"/>
        </w:rPr>
        <w:t>Locational determ</w:t>
      </w:r>
      <w:r w:rsidRPr="002C6A19">
        <w:rPr>
          <w:rFonts w:ascii="Times New Roman" w:eastAsia="Times New Roman" w:hAnsi="Times New Roman" w:cs="Times New Roman"/>
        </w:rPr>
        <w:t xml:space="preserve">inants of outward foreign direct Investment: an analysis of Chinese and Indian greenfield investments. </w:t>
      </w:r>
      <w:r w:rsidRPr="002C6A19">
        <w:rPr>
          <w:rFonts w:ascii="Times New Roman" w:eastAsia="Times New Roman" w:hAnsi="Times New Roman" w:cs="Times New Roman"/>
          <w:i/>
        </w:rPr>
        <w:t>Transnational Corporations</w:t>
      </w:r>
      <w:r w:rsidRPr="002C6A19">
        <w:rPr>
          <w:rFonts w:ascii="Times New Roman" w:eastAsia="Times New Roman" w:hAnsi="Times New Roman" w:cs="Times New Roman"/>
        </w:rPr>
        <w:t>, 21(1): 1-34.</w:t>
      </w:r>
    </w:p>
    <w:p w:rsidR="00176843" w:rsidRPr="002C6A19" w:rsidRDefault="00176843" w:rsidP="00503CD1">
      <w:pPr>
        <w:autoSpaceDE w:val="0"/>
        <w:autoSpaceDN w:val="0"/>
        <w:adjustRightInd w:val="0"/>
        <w:spacing w:after="0" w:line="480" w:lineRule="auto"/>
        <w:jc w:val="both"/>
        <w:rPr>
          <w:rFonts w:ascii="Times New Roman" w:hAnsi="Times New Roman" w:cs="Times New Roman"/>
        </w:rPr>
      </w:pP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Fetscherin, M., &amp; Toncar, M. 2010. The effects of the country of brand and the country of manufacturing of automobiles. An experimental study of consumers’ brand personality perception</w:t>
      </w:r>
      <w:r w:rsidRPr="00101F20">
        <w:rPr>
          <w:rFonts w:ascii="Times New Roman" w:hAnsi="Times New Roman" w:cs="Times New Roman"/>
          <w:i/>
        </w:rPr>
        <w:t>. International Marketing Review</w:t>
      </w:r>
      <w:r w:rsidRPr="00101F20">
        <w:rPr>
          <w:rFonts w:ascii="Times New Roman" w:hAnsi="Times New Roman" w:cs="Times New Roman"/>
        </w:rPr>
        <w:t>, 27(2): 164-178.</w:t>
      </w: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FICCI</w:t>
      </w:r>
      <w:r w:rsidR="000C38FE">
        <w:rPr>
          <w:rFonts w:ascii="Times New Roman" w:hAnsi="Times New Roman" w:cs="Times New Roman"/>
        </w:rPr>
        <w:t>.</w:t>
      </w:r>
      <w:r w:rsidRPr="00101F20">
        <w:rPr>
          <w:rFonts w:ascii="Times New Roman" w:hAnsi="Times New Roman" w:cs="Times New Roman"/>
        </w:rPr>
        <w:t xml:space="preserve"> 2012. India-Germany bilateral relations. </w:t>
      </w:r>
      <w:hyperlink r:id="rId12" w:history="1">
        <w:r w:rsidRPr="00101F20">
          <w:rPr>
            <w:rStyle w:val="Hyperlink"/>
            <w:rFonts w:ascii="Times New Roman" w:hAnsi="Times New Roman" w:cs="Times New Roman"/>
            <w:color w:val="auto"/>
            <w:u w:val="none"/>
          </w:rPr>
          <w:t>http://www.ficci.com/international/54525/Add_docs/India-Germany-Bilateral-Relations-21-12-12.pdf</w:t>
        </w:r>
      </w:hyperlink>
      <w:r w:rsidRPr="00101F20">
        <w:rPr>
          <w:rFonts w:ascii="Times New Roman" w:hAnsi="Times New Roman" w:cs="Times New Roman"/>
        </w:rPr>
        <w:t>. Accessed 25 January 2014.</w:t>
      </w:r>
    </w:p>
    <w:p w:rsidR="00176843" w:rsidRPr="00101F20" w:rsidRDefault="00176843" w:rsidP="00503CD1">
      <w:pPr>
        <w:autoSpaceDE w:val="0"/>
        <w:autoSpaceDN w:val="0"/>
        <w:adjustRightInd w:val="0"/>
        <w:spacing w:after="0" w:line="480" w:lineRule="auto"/>
        <w:jc w:val="both"/>
        <w:rPr>
          <w:rFonts w:ascii="Times New Roman" w:hAnsi="Times New Roman" w:cs="Times New Roman"/>
          <w:highlight w:val="yellow"/>
        </w:rPr>
      </w:pPr>
    </w:p>
    <w:p w:rsidR="00176843"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FICCI</w:t>
      </w:r>
      <w:r w:rsidR="000C38FE">
        <w:rPr>
          <w:rFonts w:ascii="Times New Roman" w:hAnsi="Times New Roman" w:cs="Times New Roman"/>
        </w:rPr>
        <w:t>.</w:t>
      </w:r>
      <w:r w:rsidRPr="00101F20">
        <w:rPr>
          <w:rFonts w:ascii="Times New Roman" w:hAnsi="Times New Roman" w:cs="Times New Roman"/>
        </w:rPr>
        <w:t xml:space="preserve"> 2013. </w:t>
      </w:r>
      <w:r w:rsidRPr="00101F20">
        <w:rPr>
          <w:rFonts w:ascii="Times New Roman" w:eastAsia="Times New Roman" w:hAnsi="Times New Roman" w:cs="Times New Roman"/>
        </w:rPr>
        <w:t>Is the worst phase over for Indian companies doing b</w:t>
      </w:r>
      <w:r w:rsidRPr="00537213">
        <w:rPr>
          <w:rFonts w:ascii="Times New Roman" w:eastAsia="Times New Roman" w:hAnsi="Times New Roman" w:cs="Times New Roman"/>
        </w:rPr>
        <w:t xml:space="preserve">usiness in </w:t>
      </w:r>
      <w:r w:rsidR="00540719" w:rsidRPr="00537213">
        <w:rPr>
          <w:rFonts w:ascii="Times New Roman" w:eastAsia="Times New Roman" w:hAnsi="Times New Roman" w:cs="Times New Roman"/>
        </w:rPr>
        <w:t>Europe</w:t>
      </w:r>
      <w:r w:rsidR="00540719" w:rsidRPr="00101F20">
        <w:rPr>
          <w:rFonts w:ascii="Times New Roman" w:eastAsia="Times New Roman" w:hAnsi="Times New Roman" w:cs="Times New Roman"/>
        </w:rPr>
        <w:t>?</w:t>
      </w:r>
      <w:r w:rsidRPr="00101F20">
        <w:rPr>
          <w:rFonts w:ascii="Times New Roman" w:eastAsia="Times New Roman" w:hAnsi="Times New Roman" w:cs="Times New Roman"/>
        </w:rPr>
        <w:t xml:space="preserve"> </w:t>
      </w:r>
      <w:hyperlink r:id="rId13" w:history="1">
        <w:r w:rsidRPr="00101F20">
          <w:rPr>
            <w:rStyle w:val="Hyperlink"/>
            <w:rFonts w:ascii="Times New Roman" w:eastAsia="Times New Roman" w:hAnsi="Times New Roman" w:cs="Times New Roman"/>
            <w:color w:val="auto"/>
            <w:u w:val="none"/>
          </w:rPr>
          <w:t>http://www.ficci.com/Sedocument/20255/europe-Survey-Report-2013.pdf</w:t>
        </w:r>
      </w:hyperlink>
      <w:r w:rsidRPr="00101F20">
        <w:rPr>
          <w:rFonts w:ascii="Times New Roman" w:eastAsia="Times New Roman" w:hAnsi="Times New Roman" w:cs="Times New Roman"/>
        </w:rPr>
        <w:t xml:space="preserve">. </w:t>
      </w:r>
      <w:r w:rsidRPr="00101F20">
        <w:rPr>
          <w:rFonts w:ascii="Times New Roman" w:hAnsi="Times New Roman" w:cs="Times New Roman"/>
        </w:rPr>
        <w:t>Accessed 25 January 2014.</w:t>
      </w:r>
    </w:p>
    <w:p w:rsidR="000C38FE" w:rsidRPr="00101F20" w:rsidRDefault="000C38FE" w:rsidP="00503CD1">
      <w:pPr>
        <w:autoSpaceDE w:val="0"/>
        <w:autoSpaceDN w:val="0"/>
        <w:adjustRightInd w:val="0"/>
        <w:spacing w:after="0" w:line="480" w:lineRule="auto"/>
        <w:jc w:val="both"/>
        <w:rPr>
          <w:rFonts w:ascii="Times New Roman" w:hAnsi="Times New Roman" w:cs="Times New Roman"/>
        </w:rPr>
      </w:pPr>
    </w:p>
    <w:p w:rsidR="00176843" w:rsidRPr="00101F20" w:rsidRDefault="00176843" w:rsidP="00503CD1">
      <w:pPr>
        <w:spacing w:after="0" w:line="480" w:lineRule="auto"/>
        <w:jc w:val="both"/>
        <w:rPr>
          <w:rFonts w:ascii="Times New Roman" w:eastAsia="Times New Roman" w:hAnsi="Times New Roman" w:cs="Times New Roman"/>
        </w:rPr>
      </w:pPr>
      <w:r w:rsidRPr="00101F20">
        <w:rPr>
          <w:rFonts w:ascii="Times New Roman" w:eastAsia="Times New Roman" w:hAnsi="Times New Roman" w:cs="Times New Roman"/>
        </w:rPr>
        <w:t>Grant Thornton</w:t>
      </w:r>
      <w:r w:rsidR="000C38FE">
        <w:rPr>
          <w:rFonts w:ascii="Times New Roman" w:eastAsia="Times New Roman" w:hAnsi="Times New Roman" w:cs="Times New Roman"/>
        </w:rPr>
        <w:t>.</w:t>
      </w:r>
      <w:r w:rsidRPr="00101F20">
        <w:rPr>
          <w:rFonts w:ascii="Times New Roman" w:eastAsia="Times New Roman" w:hAnsi="Times New Roman" w:cs="Times New Roman"/>
        </w:rPr>
        <w:t xml:space="preserve"> 2013. </w:t>
      </w:r>
      <w:r w:rsidRPr="00101F20">
        <w:rPr>
          <w:rFonts w:ascii="Times New Roman" w:eastAsia="Times New Roman" w:hAnsi="Times New Roman" w:cs="Times New Roman"/>
          <w:i/>
        </w:rPr>
        <w:t>Dealtracker: Providing M&amp;A and private equity deal i</w:t>
      </w:r>
      <w:r w:rsidRPr="00CB530F">
        <w:rPr>
          <w:rFonts w:ascii="Times New Roman" w:eastAsia="Times New Roman" w:hAnsi="Times New Roman" w:cs="Times New Roman"/>
          <w:i/>
        </w:rPr>
        <w:t>nsights</w:t>
      </w:r>
      <w:r w:rsidRPr="00101F20">
        <w:rPr>
          <w:rFonts w:ascii="Times New Roman" w:eastAsia="Times New Roman" w:hAnsi="Times New Roman" w:cs="Times New Roman"/>
        </w:rPr>
        <w:t>. India: Grant Thornton India LLP.</w:t>
      </w:r>
    </w:p>
    <w:p w:rsidR="00176843" w:rsidRPr="00101F20" w:rsidRDefault="00176843" w:rsidP="00503CD1">
      <w:pPr>
        <w:spacing w:after="0" w:line="480" w:lineRule="auto"/>
        <w:jc w:val="both"/>
        <w:rPr>
          <w:rFonts w:ascii="Times New Roman" w:eastAsia="Times New Roman" w:hAnsi="Times New Roman" w:cs="Times New Roman"/>
        </w:rPr>
      </w:pPr>
    </w:p>
    <w:p w:rsidR="00176843" w:rsidRPr="00101F20" w:rsidRDefault="00176843" w:rsidP="00503CD1">
      <w:pPr>
        <w:spacing w:after="0" w:line="480" w:lineRule="auto"/>
        <w:jc w:val="both"/>
        <w:rPr>
          <w:rFonts w:ascii="Times New Roman" w:hAnsi="Times New Roman" w:cs="Times New Roman"/>
        </w:rPr>
      </w:pPr>
      <w:r w:rsidRPr="00101F20">
        <w:rPr>
          <w:rFonts w:ascii="Times New Roman" w:hAnsi="Times New Roman" w:cs="Times New Roman"/>
        </w:rPr>
        <w:t xml:space="preserve">Hansen, M.W. 2007. Outward foreign direct investment from India: Theory and Evidence. </w:t>
      </w:r>
      <w:hyperlink r:id="rId14" w:history="1">
        <w:r w:rsidRPr="00101F20">
          <w:rPr>
            <w:rStyle w:val="Hyperlink"/>
            <w:rFonts w:ascii="Times New Roman" w:hAnsi="Times New Roman" w:cs="Times New Roman"/>
            <w:color w:val="auto"/>
            <w:u w:val="none"/>
          </w:rPr>
          <w:t>www.cbs.dk/cbds</w:t>
        </w:r>
      </w:hyperlink>
      <w:r w:rsidRPr="00101F20">
        <w:rPr>
          <w:rFonts w:ascii="Times New Roman" w:hAnsi="Times New Roman" w:cs="Times New Roman"/>
        </w:rPr>
        <w:t>. Accessed 17 January 2014.</w:t>
      </w:r>
    </w:p>
    <w:p w:rsidR="00176843" w:rsidRPr="00CB530F" w:rsidRDefault="00176843" w:rsidP="00503CD1">
      <w:pPr>
        <w:spacing w:after="0" w:line="480" w:lineRule="auto"/>
        <w:jc w:val="both"/>
        <w:rPr>
          <w:rFonts w:ascii="Times New Roman" w:eastAsia="Times New Roman" w:hAnsi="Times New Roman" w:cs="Times New Roman"/>
        </w:rPr>
      </w:pP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 xml:space="preserve">Hattari, R., &amp; Rajan, R.S. 2010. India as a Source of Outward Foreign Direct Investment. </w:t>
      </w:r>
      <w:r w:rsidRPr="00101F20">
        <w:rPr>
          <w:rFonts w:ascii="Times New Roman" w:hAnsi="Times New Roman" w:cs="Times New Roman"/>
          <w:i/>
        </w:rPr>
        <w:t>Oxford Development Studies</w:t>
      </w:r>
      <w:r w:rsidRPr="00101F20">
        <w:rPr>
          <w:rFonts w:ascii="Times New Roman" w:hAnsi="Times New Roman" w:cs="Times New Roman"/>
        </w:rPr>
        <w:t>, 38(4): 497-518.</w:t>
      </w: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r w:rsidRPr="002C4700">
        <w:rPr>
          <w:rFonts w:ascii="Times New Roman" w:hAnsi="Times New Roman" w:cs="Times New Roman"/>
        </w:rPr>
        <w:lastRenderedPageBreak/>
        <w:t xml:space="preserve">Hoffmann-T, R., &amp; Wright, C.J. 2013. </w:t>
      </w:r>
      <w:r w:rsidRPr="00101F20">
        <w:rPr>
          <w:rFonts w:ascii="Times New Roman" w:hAnsi="Times New Roman" w:cs="Times New Roman"/>
          <w:i/>
        </w:rPr>
        <w:t>Indian appetite for German targets likely to stay strong throughout 2013</w:t>
      </w:r>
      <w:r w:rsidRPr="00101F20">
        <w:rPr>
          <w:rFonts w:ascii="Times New Roman" w:hAnsi="Times New Roman" w:cs="Times New Roman"/>
        </w:rPr>
        <w:t>. Berlin: Görg.</w:t>
      </w: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p>
    <w:p w:rsidR="00176843"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 xml:space="preserve">Holtbrügge, D., Berning, S.C., &amp; Garg, R. 2013. Outward Foreign Direct Investment of Emerging Market Firms. In D.A. Dyker (Ed.), </w:t>
      </w:r>
      <w:r w:rsidRPr="00101F20">
        <w:rPr>
          <w:rStyle w:val="Emphasis"/>
          <w:rFonts w:ascii="Times New Roman" w:hAnsi="Times New Roman" w:cs="Times New Roman"/>
        </w:rPr>
        <w:t>Foreign Investment in Eurasia and the Pacific Rim.</w:t>
      </w:r>
      <w:r w:rsidRPr="00101F20">
        <w:rPr>
          <w:rFonts w:ascii="Times New Roman" w:hAnsi="Times New Roman" w:cs="Times New Roman"/>
        </w:rPr>
        <w:t xml:space="preserve"> London: Imperial College Press (in press).</w:t>
      </w:r>
    </w:p>
    <w:p w:rsidR="00A75386" w:rsidRDefault="00A75386" w:rsidP="00503CD1">
      <w:pPr>
        <w:autoSpaceDE w:val="0"/>
        <w:autoSpaceDN w:val="0"/>
        <w:adjustRightInd w:val="0"/>
        <w:spacing w:after="0" w:line="480" w:lineRule="auto"/>
        <w:jc w:val="both"/>
        <w:rPr>
          <w:rFonts w:ascii="Times New Roman" w:hAnsi="Times New Roman" w:cs="Times New Roman"/>
        </w:rPr>
      </w:pPr>
    </w:p>
    <w:p w:rsidR="00A75386" w:rsidRDefault="00A75386" w:rsidP="00503CD1">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 xml:space="preserve">Jormanainen, I., </w:t>
      </w:r>
      <w:r w:rsidRPr="00A75386">
        <w:rPr>
          <w:rFonts w:ascii="Times New Roman" w:hAnsi="Times New Roman" w:cs="Times New Roman"/>
        </w:rPr>
        <w:t xml:space="preserve">&amp; Koveshnikov, A. 2012. International activities of emerging market firms: A critical assessment of research in top international management journals. </w:t>
      </w:r>
      <w:r w:rsidRPr="00540719">
        <w:rPr>
          <w:rFonts w:ascii="Times New Roman" w:hAnsi="Times New Roman" w:cs="Times New Roman"/>
          <w:i/>
        </w:rPr>
        <w:t>Management International Review</w:t>
      </w:r>
      <w:r>
        <w:rPr>
          <w:rFonts w:ascii="Times New Roman" w:hAnsi="Times New Roman" w:cs="Times New Roman"/>
        </w:rPr>
        <w:t>, 52</w:t>
      </w:r>
      <w:r w:rsidR="00302E70">
        <w:rPr>
          <w:rFonts w:ascii="Times New Roman" w:hAnsi="Times New Roman" w:cs="Times New Roman"/>
        </w:rPr>
        <w:t xml:space="preserve"> (5)</w:t>
      </w:r>
      <w:r>
        <w:rPr>
          <w:rFonts w:ascii="Times New Roman" w:hAnsi="Times New Roman" w:cs="Times New Roman"/>
        </w:rPr>
        <w:t>: 691-725.</w:t>
      </w:r>
    </w:p>
    <w:p w:rsidR="000C38FE" w:rsidRPr="00A75386" w:rsidRDefault="000C38FE" w:rsidP="00503CD1">
      <w:pPr>
        <w:autoSpaceDE w:val="0"/>
        <w:autoSpaceDN w:val="0"/>
        <w:adjustRightInd w:val="0"/>
        <w:spacing w:after="0" w:line="480" w:lineRule="auto"/>
        <w:jc w:val="both"/>
        <w:rPr>
          <w:rFonts w:ascii="Times New Roman" w:hAnsi="Times New Roman" w:cs="Times New Roman"/>
        </w:rPr>
      </w:pPr>
    </w:p>
    <w:p w:rsidR="00176843"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Kreppel, H., &amp; Holtbrügge, D. 2012. Determinants of the Perceived Attractiveness of Chinese Products by German Consumers</w:t>
      </w:r>
      <w:r w:rsidRPr="00101F20">
        <w:rPr>
          <w:rFonts w:ascii="Times New Roman" w:hAnsi="Times New Roman" w:cs="Times New Roman"/>
          <w:i/>
        </w:rPr>
        <w:t>. Journal of Global Marketing</w:t>
      </w:r>
      <w:r w:rsidRPr="00101F20">
        <w:rPr>
          <w:rFonts w:ascii="Times New Roman" w:hAnsi="Times New Roman" w:cs="Times New Roman"/>
        </w:rPr>
        <w:t>, 25(2): 79-99.</w:t>
      </w:r>
    </w:p>
    <w:p w:rsidR="004A5809" w:rsidRDefault="004A5809" w:rsidP="00503CD1">
      <w:pPr>
        <w:autoSpaceDE w:val="0"/>
        <w:autoSpaceDN w:val="0"/>
        <w:adjustRightInd w:val="0"/>
        <w:spacing w:after="0" w:line="480" w:lineRule="auto"/>
        <w:jc w:val="both"/>
        <w:rPr>
          <w:rFonts w:ascii="Times New Roman" w:hAnsi="Times New Roman" w:cs="Times New Roman"/>
        </w:rPr>
      </w:pPr>
    </w:p>
    <w:p w:rsidR="00C536DA" w:rsidRDefault="00C536DA" w:rsidP="00503CD1">
      <w:pPr>
        <w:autoSpaceDE w:val="0"/>
        <w:autoSpaceDN w:val="0"/>
        <w:adjustRightInd w:val="0"/>
        <w:spacing w:after="0" w:line="480" w:lineRule="auto"/>
        <w:jc w:val="both"/>
        <w:rPr>
          <w:rFonts w:ascii="Times New Roman" w:hAnsi="Times New Roman" w:cs="Times New Roman"/>
        </w:rPr>
      </w:pPr>
      <w:r w:rsidRPr="00C536DA">
        <w:rPr>
          <w:rFonts w:ascii="Times New Roman" w:hAnsi="Times New Roman" w:cs="Times New Roman"/>
        </w:rPr>
        <w:t xml:space="preserve">Krishnan, M. 2013. Indian investments in Africa soars. </w:t>
      </w:r>
      <w:hyperlink r:id="rId15" w:history="1">
        <w:r w:rsidRPr="00C536DA">
          <w:rPr>
            <w:rStyle w:val="Hyperlink"/>
            <w:rFonts w:ascii="Times New Roman" w:hAnsi="Times New Roman" w:cs="Times New Roman"/>
            <w:color w:val="auto"/>
            <w:u w:val="none"/>
          </w:rPr>
          <w:t>http://www.dw.de/indian-investment-in-africa-soars/a-16951164</w:t>
        </w:r>
      </w:hyperlink>
      <w:r w:rsidRPr="00C536DA">
        <w:rPr>
          <w:rFonts w:ascii="Times New Roman" w:hAnsi="Times New Roman" w:cs="Times New Roman"/>
        </w:rPr>
        <w:t>. Accessed 26 January 2014.</w:t>
      </w:r>
    </w:p>
    <w:p w:rsidR="004A5809" w:rsidRDefault="004A5809" w:rsidP="00503CD1">
      <w:pPr>
        <w:autoSpaceDE w:val="0"/>
        <w:autoSpaceDN w:val="0"/>
        <w:adjustRightInd w:val="0"/>
        <w:spacing w:after="0" w:line="480" w:lineRule="auto"/>
        <w:jc w:val="both"/>
        <w:rPr>
          <w:rFonts w:ascii="Times New Roman" w:hAnsi="Times New Roman" w:cs="Times New Roman"/>
        </w:rPr>
      </w:pPr>
    </w:p>
    <w:p w:rsidR="004A5809" w:rsidRPr="004A5809" w:rsidRDefault="004A5809" w:rsidP="00503CD1">
      <w:pPr>
        <w:autoSpaceDE w:val="0"/>
        <w:autoSpaceDN w:val="0"/>
        <w:adjustRightInd w:val="0"/>
        <w:spacing w:after="0" w:line="480" w:lineRule="auto"/>
        <w:jc w:val="both"/>
        <w:rPr>
          <w:rFonts w:ascii="Times New Roman" w:eastAsia="Times New Roman" w:hAnsi="Times New Roman" w:cs="Times New Roman"/>
        </w:rPr>
      </w:pPr>
      <w:r w:rsidRPr="004A5809">
        <w:rPr>
          <w:rFonts w:ascii="Times New Roman" w:hAnsi="Times New Roman" w:cs="Times New Roman"/>
        </w:rPr>
        <w:t xml:space="preserve">Kumar, N. 2007. </w:t>
      </w:r>
      <w:r w:rsidRPr="004A5809">
        <w:rPr>
          <w:rFonts w:ascii="Times New Roman" w:eastAsia="Times New Roman" w:hAnsi="Times New Roman" w:cs="Times New Roman"/>
        </w:rPr>
        <w:t>Emerging TNCs: trends, patterns and determinants of outward FDI by Indian enterprises</w:t>
      </w:r>
      <w:r>
        <w:rPr>
          <w:rFonts w:ascii="Times New Roman" w:eastAsia="Times New Roman" w:hAnsi="Times New Roman" w:cs="Times New Roman"/>
        </w:rPr>
        <w:t xml:space="preserve">.  </w:t>
      </w:r>
      <w:r w:rsidRPr="004A5809">
        <w:rPr>
          <w:rFonts w:ascii="Times New Roman" w:eastAsia="Times New Roman" w:hAnsi="Times New Roman" w:cs="Times New Roman"/>
          <w:i/>
        </w:rPr>
        <w:t>Transnational Corporations</w:t>
      </w:r>
      <w:r>
        <w:rPr>
          <w:rFonts w:ascii="Times New Roman" w:eastAsia="Times New Roman" w:hAnsi="Times New Roman" w:cs="Times New Roman"/>
        </w:rPr>
        <w:t>, 16(1): 1-26.</w:t>
      </w:r>
    </w:p>
    <w:p w:rsidR="004A5809" w:rsidRPr="00C536DA" w:rsidRDefault="004A5809" w:rsidP="00503CD1">
      <w:pPr>
        <w:autoSpaceDE w:val="0"/>
        <w:autoSpaceDN w:val="0"/>
        <w:adjustRightInd w:val="0"/>
        <w:spacing w:after="0" w:line="480" w:lineRule="auto"/>
        <w:jc w:val="both"/>
        <w:rPr>
          <w:rFonts w:ascii="Times New Roman" w:hAnsi="Times New Roman" w:cs="Times New Roman"/>
        </w:rPr>
      </w:pPr>
    </w:p>
    <w:p w:rsidR="00A10D92" w:rsidRPr="00A10D92" w:rsidRDefault="00A10D92" w:rsidP="00503CD1">
      <w:pPr>
        <w:autoSpaceDE w:val="0"/>
        <w:autoSpaceDN w:val="0"/>
        <w:adjustRightInd w:val="0"/>
        <w:spacing w:after="0" w:line="480" w:lineRule="auto"/>
        <w:jc w:val="both"/>
        <w:rPr>
          <w:rFonts w:ascii="Times New Roman" w:hAnsi="Times New Roman" w:cs="Times New Roman"/>
        </w:rPr>
      </w:pPr>
      <w:r w:rsidRPr="00A10D92">
        <w:rPr>
          <w:rFonts w:ascii="Times New Roman" w:hAnsi="Times New Roman" w:cs="Times New Roman"/>
        </w:rPr>
        <w:t>La</w:t>
      </w:r>
      <w:r>
        <w:rPr>
          <w:rFonts w:ascii="Times New Roman" w:hAnsi="Times New Roman" w:cs="Times New Roman"/>
        </w:rPr>
        <w:t xml:space="preserve">ll, S. </w:t>
      </w:r>
      <w:r w:rsidRPr="00A10D92">
        <w:rPr>
          <w:rFonts w:ascii="Times New Roman" w:hAnsi="Times New Roman" w:cs="Times New Roman"/>
        </w:rPr>
        <w:t>1983</w:t>
      </w:r>
      <w:r>
        <w:rPr>
          <w:rFonts w:ascii="Times New Roman" w:hAnsi="Times New Roman" w:cs="Times New Roman"/>
        </w:rPr>
        <w:t>.</w:t>
      </w:r>
      <w:r w:rsidRPr="00A10D92">
        <w:rPr>
          <w:rFonts w:ascii="Times New Roman" w:hAnsi="Times New Roman" w:cs="Times New Roman"/>
        </w:rPr>
        <w:t xml:space="preserve"> </w:t>
      </w:r>
      <w:r w:rsidRPr="00A10D92">
        <w:rPr>
          <w:rFonts w:ascii="Times New Roman" w:hAnsi="Times New Roman" w:cs="Times New Roman"/>
          <w:i/>
        </w:rPr>
        <w:t>The New Multinationals: The Spread of Third World Enterprises</w:t>
      </w:r>
      <w:r>
        <w:rPr>
          <w:rFonts w:ascii="Times New Roman" w:hAnsi="Times New Roman" w:cs="Times New Roman"/>
          <w:i/>
        </w:rPr>
        <w:t xml:space="preserve">. </w:t>
      </w:r>
      <w:r w:rsidRPr="00A10D92">
        <w:rPr>
          <w:rFonts w:ascii="Times New Roman" w:hAnsi="Times New Roman" w:cs="Times New Roman"/>
        </w:rPr>
        <w:t>New York: Wiley</w:t>
      </w:r>
      <w:r>
        <w:rPr>
          <w:rFonts w:ascii="Times New Roman" w:hAnsi="Times New Roman" w:cs="Times New Roman"/>
        </w:rPr>
        <w:t>.</w:t>
      </w: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Mckinsey Global Institute</w:t>
      </w:r>
      <w:r w:rsidR="000C38FE">
        <w:rPr>
          <w:rFonts w:ascii="Times New Roman" w:hAnsi="Times New Roman" w:cs="Times New Roman"/>
        </w:rPr>
        <w:t>.</w:t>
      </w:r>
      <w:r w:rsidRPr="00101F20">
        <w:rPr>
          <w:rFonts w:ascii="Times New Roman" w:hAnsi="Times New Roman" w:cs="Times New Roman"/>
        </w:rPr>
        <w:t xml:space="preserve"> 2013. </w:t>
      </w:r>
      <w:r w:rsidRPr="00101F20">
        <w:rPr>
          <w:rFonts w:ascii="Times New Roman" w:hAnsi="Times New Roman" w:cs="Times New Roman"/>
          <w:i/>
        </w:rPr>
        <w:t>Urban world: The shifting global business landscape</w:t>
      </w:r>
      <w:r w:rsidRPr="00101F20">
        <w:rPr>
          <w:rFonts w:ascii="Times New Roman" w:hAnsi="Times New Roman" w:cs="Times New Roman"/>
        </w:rPr>
        <w:t xml:space="preserve">. Mckinsey &amp; Company, 2013. </w:t>
      </w: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lastRenderedPageBreak/>
        <w:t xml:space="preserve">Milelli, C., Hay, F., &amp; Shi, Y. 2010. Chinese and Indian firms in Europe: characteristics, impacts and policy implications. </w:t>
      </w:r>
      <w:r w:rsidRPr="00101F20">
        <w:rPr>
          <w:rFonts w:ascii="Times New Roman" w:hAnsi="Times New Roman" w:cs="Times New Roman"/>
          <w:i/>
        </w:rPr>
        <w:t>International Journal of Emerging Markets</w:t>
      </w:r>
      <w:r w:rsidRPr="00101F20">
        <w:rPr>
          <w:rFonts w:ascii="Times New Roman" w:hAnsi="Times New Roman" w:cs="Times New Roman"/>
        </w:rPr>
        <w:t>, 5(3/4): 377-197.</w:t>
      </w: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p>
    <w:p w:rsidR="00176843"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 xml:space="preserve">Morris, S. 1987. Trends in foreign direct investment from India (1950-1982). </w:t>
      </w:r>
      <w:r w:rsidRPr="00101F20">
        <w:rPr>
          <w:rFonts w:ascii="Times New Roman" w:hAnsi="Times New Roman" w:cs="Times New Roman"/>
          <w:i/>
        </w:rPr>
        <w:t>Economic and Political Weekly</w:t>
      </w:r>
      <w:r w:rsidRPr="00101F20">
        <w:rPr>
          <w:rFonts w:ascii="Times New Roman" w:hAnsi="Times New Roman" w:cs="Times New Roman"/>
        </w:rPr>
        <w:t>, 22</w:t>
      </w:r>
      <w:r w:rsidR="00302E70">
        <w:rPr>
          <w:rFonts w:ascii="Times New Roman" w:hAnsi="Times New Roman" w:cs="Times New Roman"/>
        </w:rPr>
        <w:t xml:space="preserve"> (45)</w:t>
      </w:r>
      <w:r w:rsidRPr="00101F20">
        <w:rPr>
          <w:rFonts w:ascii="Times New Roman" w:hAnsi="Times New Roman" w:cs="Times New Roman"/>
        </w:rPr>
        <w:t>: 1909-1918.</w:t>
      </w:r>
    </w:p>
    <w:p w:rsidR="002D221F" w:rsidRDefault="002D221F" w:rsidP="00503CD1">
      <w:pPr>
        <w:autoSpaceDE w:val="0"/>
        <w:autoSpaceDN w:val="0"/>
        <w:adjustRightInd w:val="0"/>
        <w:spacing w:after="0" w:line="480" w:lineRule="auto"/>
        <w:jc w:val="both"/>
        <w:rPr>
          <w:rFonts w:ascii="Times New Roman" w:hAnsi="Times New Roman" w:cs="Times New Roman"/>
        </w:rPr>
      </w:pP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 xml:space="preserve">Nargundhar, R., &amp; Bajaj, C. 2002. International Marketing Strategy for Indian Companies: Value, Image and Other Issues. </w:t>
      </w:r>
      <w:r w:rsidRPr="00101F20">
        <w:rPr>
          <w:rFonts w:ascii="Times New Roman" w:hAnsi="Times New Roman" w:cs="Times New Roman"/>
          <w:i/>
        </w:rPr>
        <w:t>ICFAI Journal of Marketing</w:t>
      </w:r>
      <w:r w:rsidRPr="00101F20">
        <w:rPr>
          <w:rFonts w:ascii="Times New Roman" w:hAnsi="Times New Roman" w:cs="Times New Roman"/>
        </w:rPr>
        <w:t>, 1(1): 67-73.</w:t>
      </w: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 xml:space="preserve">Nayyar, D. 2008. The Internationalization of Firms from India: Investment, Mergers and Acquisitions. </w:t>
      </w:r>
      <w:r w:rsidRPr="00101F20">
        <w:rPr>
          <w:rFonts w:ascii="Times New Roman" w:hAnsi="Times New Roman" w:cs="Times New Roman"/>
          <w:i/>
        </w:rPr>
        <w:t>Oxford Development Studies</w:t>
      </w:r>
      <w:r w:rsidRPr="00101F20">
        <w:rPr>
          <w:rFonts w:ascii="Times New Roman" w:hAnsi="Times New Roman" w:cs="Times New Roman"/>
        </w:rPr>
        <w:t>, 36(1): 111-131.</w:t>
      </w: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p>
    <w:p w:rsidR="00176843"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 xml:space="preserve">Pappu, R., Quester, P.G., &amp; Cooksey, R.W. 2007. Country image and consumer-based brand equity: relationships and implications for international marketing. </w:t>
      </w:r>
      <w:r w:rsidRPr="00101F20">
        <w:rPr>
          <w:rFonts w:ascii="Times New Roman" w:hAnsi="Times New Roman" w:cs="Times New Roman"/>
          <w:i/>
        </w:rPr>
        <w:t>Journal of International Business Studies</w:t>
      </w:r>
      <w:r w:rsidRPr="00101F20">
        <w:rPr>
          <w:rFonts w:ascii="Times New Roman" w:hAnsi="Times New Roman" w:cs="Times New Roman"/>
        </w:rPr>
        <w:t>, 38(5): 726-745.</w:t>
      </w:r>
    </w:p>
    <w:p w:rsidR="0021108F" w:rsidRDefault="0021108F" w:rsidP="00503CD1">
      <w:pPr>
        <w:autoSpaceDE w:val="0"/>
        <w:autoSpaceDN w:val="0"/>
        <w:adjustRightInd w:val="0"/>
        <w:spacing w:after="0" w:line="480" w:lineRule="auto"/>
        <w:jc w:val="both"/>
        <w:rPr>
          <w:rFonts w:ascii="Times New Roman" w:hAnsi="Times New Roman" w:cs="Times New Roman"/>
        </w:rPr>
      </w:pPr>
    </w:p>
    <w:p w:rsidR="003D14B9" w:rsidRDefault="003D14B9" w:rsidP="00503CD1">
      <w:pPr>
        <w:autoSpaceDE w:val="0"/>
        <w:autoSpaceDN w:val="0"/>
        <w:adjustRightInd w:val="0"/>
        <w:spacing w:after="0" w:line="480" w:lineRule="auto"/>
        <w:jc w:val="both"/>
        <w:rPr>
          <w:rFonts w:ascii="Times New Roman" w:hAnsi="Times New Roman" w:cs="Times New Roman"/>
        </w:rPr>
      </w:pPr>
      <w:r w:rsidRPr="003D14B9">
        <w:rPr>
          <w:rFonts w:ascii="Times New Roman" w:hAnsi="Times New Roman" w:cs="Times New Roman"/>
        </w:rPr>
        <w:t>Pradhan, J.P. 2007</w:t>
      </w:r>
      <w:r>
        <w:rPr>
          <w:rFonts w:ascii="Times New Roman" w:hAnsi="Times New Roman" w:cs="Times New Roman"/>
        </w:rPr>
        <w:t>.</w:t>
      </w:r>
      <w:r w:rsidRPr="003D14B9">
        <w:rPr>
          <w:rFonts w:ascii="Times New Roman" w:hAnsi="Times New Roman" w:cs="Times New Roman"/>
        </w:rPr>
        <w:t xml:space="preserve"> </w:t>
      </w:r>
      <w:r>
        <w:rPr>
          <w:rFonts w:ascii="Times New Roman" w:hAnsi="Times New Roman" w:cs="Times New Roman"/>
        </w:rPr>
        <w:t xml:space="preserve">Growth of Indian multinationals in the world economy: implications for development. Working paper No. 04, Institute for Studies in Industrial Development, New Delhi. </w:t>
      </w:r>
    </w:p>
    <w:p w:rsidR="000C38FE" w:rsidRDefault="000C38FE" w:rsidP="00503CD1">
      <w:pPr>
        <w:autoSpaceDE w:val="0"/>
        <w:autoSpaceDN w:val="0"/>
        <w:adjustRightInd w:val="0"/>
        <w:spacing w:after="0" w:line="480" w:lineRule="auto"/>
        <w:jc w:val="both"/>
        <w:rPr>
          <w:rFonts w:ascii="Times New Roman" w:hAnsi="Times New Roman" w:cs="Times New Roman"/>
        </w:rPr>
      </w:pPr>
    </w:p>
    <w:p w:rsidR="00176843" w:rsidRDefault="00176843" w:rsidP="00503CD1">
      <w:pPr>
        <w:autoSpaceDE w:val="0"/>
        <w:autoSpaceDN w:val="0"/>
        <w:adjustRightInd w:val="0"/>
        <w:spacing w:after="0" w:line="480" w:lineRule="auto"/>
        <w:jc w:val="both"/>
        <w:rPr>
          <w:rFonts w:ascii="Times New Roman" w:hAnsi="Times New Roman" w:cs="Times New Roman"/>
        </w:rPr>
      </w:pPr>
      <w:r w:rsidRPr="00101F20">
        <w:rPr>
          <w:rFonts w:ascii="Times New Roman" w:hAnsi="Times New Roman" w:cs="Times New Roman"/>
        </w:rPr>
        <w:t xml:space="preserve">Pradhan, J.P. 2008. The evolution of Indian outward foreign direct investment: changing trends and patterns. </w:t>
      </w:r>
      <w:r w:rsidRPr="00101F20">
        <w:rPr>
          <w:rFonts w:ascii="Times New Roman" w:hAnsi="Times New Roman" w:cs="Times New Roman"/>
          <w:i/>
        </w:rPr>
        <w:t>International Journal of Technology and Globalization</w:t>
      </w:r>
      <w:r w:rsidRPr="00101F20">
        <w:rPr>
          <w:rFonts w:ascii="Times New Roman" w:hAnsi="Times New Roman" w:cs="Times New Roman"/>
        </w:rPr>
        <w:t>, 70–86.</w:t>
      </w:r>
    </w:p>
    <w:p w:rsidR="00CE5BA1" w:rsidRDefault="00CE5BA1" w:rsidP="00503CD1">
      <w:pPr>
        <w:autoSpaceDE w:val="0"/>
        <w:autoSpaceDN w:val="0"/>
        <w:adjustRightInd w:val="0"/>
        <w:spacing w:after="0" w:line="480" w:lineRule="auto"/>
        <w:jc w:val="both"/>
        <w:rPr>
          <w:rFonts w:ascii="Times New Roman" w:hAnsi="Times New Roman" w:cs="Times New Roman"/>
        </w:rPr>
      </w:pPr>
    </w:p>
    <w:p w:rsidR="00CE5BA1" w:rsidRPr="0021108F" w:rsidRDefault="00CE5BA1" w:rsidP="00503CD1">
      <w:pPr>
        <w:spacing w:after="0" w:line="480" w:lineRule="auto"/>
        <w:jc w:val="both"/>
        <w:rPr>
          <w:rFonts w:ascii="Times New Roman" w:eastAsia="Times New Roman" w:hAnsi="Times New Roman" w:cs="Times New Roman"/>
          <w:i/>
        </w:rPr>
      </w:pPr>
      <w:r>
        <w:rPr>
          <w:rFonts w:ascii="Times New Roman" w:eastAsia="Times New Roman" w:hAnsi="Times New Roman" w:cs="Times New Roman"/>
        </w:rPr>
        <w:t xml:space="preserve">Ramamurti, R. </w:t>
      </w:r>
      <w:r w:rsidRPr="00CE5BA1">
        <w:rPr>
          <w:rFonts w:ascii="Times New Roman" w:eastAsia="Times New Roman" w:hAnsi="Times New Roman" w:cs="Times New Roman"/>
        </w:rPr>
        <w:t>2012.</w:t>
      </w:r>
      <w:r>
        <w:rPr>
          <w:rFonts w:ascii="Times New Roman" w:eastAsia="Times New Roman" w:hAnsi="Times New Roman" w:cs="Times New Roman"/>
        </w:rPr>
        <w:t xml:space="preserve"> </w:t>
      </w:r>
      <w:r w:rsidRPr="00CE5BA1">
        <w:rPr>
          <w:rFonts w:ascii="Times New Roman" w:eastAsia="Times New Roman" w:hAnsi="Times New Roman" w:cs="Times New Roman"/>
        </w:rPr>
        <w:t>What is really different about emerging market multinationals?</w:t>
      </w:r>
      <w:r>
        <w:rPr>
          <w:rFonts w:ascii="Times New Roman" w:eastAsia="Times New Roman" w:hAnsi="Times New Roman" w:cs="Times New Roman"/>
        </w:rPr>
        <w:t xml:space="preserve"> </w:t>
      </w:r>
      <w:r w:rsidRPr="00CE5BA1">
        <w:rPr>
          <w:rFonts w:ascii="Times New Roman" w:eastAsia="Times New Roman" w:hAnsi="Times New Roman" w:cs="Times New Roman"/>
          <w:i/>
        </w:rPr>
        <w:t>Global Strategy</w:t>
      </w:r>
      <w:r w:rsidRPr="0021108F">
        <w:rPr>
          <w:rFonts w:ascii="Times New Roman" w:eastAsia="Times New Roman" w:hAnsi="Times New Roman" w:cs="Times New Roman"/>
          <w:i/>
        </w:rPr>
        <w:t xml:space="preserve"> </w:t>
      </w:r>
    </w:p>
    <w:p w:rsidR="00CE5BA1" w:rsidRPr="00CE5BA1" w:rsidRDefault="00CE5BA1" w:rsidP="00503CD1">
      <w:pPr>
        <w:spacing w:after="0" w:line="480" w:lineRule="auto"/>
        <w:jc w:val="both"/>
        <w:rPr>
          <w:rFonts w:ascii="Times New Roman" w:hAnsi="Times New Roman" w:cs="Times New Roman"/>
        </w:rPr>
      </w:pPr>
      <w:r w:rsidRPr="0021108F">
        <w:rPr>
          <w:rFonts w:ascii="Times New Roman" w:eastAsia="Times New Roman" w:hAnsi="Times New Roman" w:cs="Times New Roman"/>
          <w:i/>
        </w:rPr>
        <w:t>Journal</w:t>
      </w:r>
      <w:r>
        <w:rPr>
          <w:rFonts w:ascii="Times New Roman" w:eastAsia="Times New Roman" w:hAnsi="Times New Roman" w:cs="Times New Roman"/>
        </w:rPr>
        <w:t xml:space="preserve">, </w:t>
      </w:r>
      <w:r w:rsidRPr="00CE5BA1">
        <w:rPr>
          <w:rFonts w:ascii="Times New Roman" w:eastAsia="Times New Roman" w:hAnsi="Times New Roman" w:cs="Times New Roman"/>
        </w:rPr>
        <w:t>2</w:t>
      </w:r>
      <w:r w:rsidR="00302E70">
        <w:rPr>
          <w:rFonts w:ascii="Times New Roman" w:eastAsia="Times New Roman" w:hAnsi="Times New Roman" w:cs="Times New Roman"/>
        </w:rPr>
        <w:t xml:space="preserve"> (1)</w:t>
      </w:r>
      <w:r>
        <w:rPr>
          <w:rFonts w:ascii="Times New Roman" w:eastAsia="Times New Roman" w:hAnsi="Times New Roman" w:cs="Times New Roman"/>
        </w:rPr>
        <w:t xml:space="preserve">: 41-47. </w:t>
      </w:r>
    </w:p>
    <w:p w:rsidR="00176843" w:rsidRPr="00101F20" w:rsidRDefault="00176843" w:rsidP="00503CD1">
      <w:pPr>
        <w:autoSpaceDE w:val="0"/>
        <w:autoSpaceDN w:val="0"/>
        <w:adjustRightInd w:val="0"/>
        <w:spacing w:after="0" w:line="480" w:lineRule="auto"/>
        <w:jc w:val="both"/>
        <w:rPr>
          <w:rFonts w:ascii="Times New Roman" w:hAnsi="Times New Roman" w:cs="Times New Roman"/>
        </w:rPr>
      </w:pPr>
    </w:p>
    <w:p w:rsidR="00176843" w:rsidRPr="00101F20" w:rsidRDefault="00176843" w:rsidP="00503CD1">
      <w:pPr>
        <w:spacing w:after="0" w:line="480" w:lineRule="auto"/>
        <w:jc w:val="both"/>
        <w:rPr>
          <w:rFonts w:ascii="Times New Roman" w:eastAsia="Times New Roman" w:hAnsi="Times New Roman" w:cs="Times New Roman"/>
        </w:rPr>
      </w:pPr>
      <w:r w:rsidRPr="00101F20">
        <w:rPr>
          <w:rFonts w:ascii="Times New Roman" w:hAnsi="Times New Roman" w:cs="Times New Roman"/>
        </w:rPr>
        <w:t>R</w:t>
      </w:r>
      <w:r w:rsidR="000C38FE">
        <w:rPr>
          <w:rFonts w:ascii="Times New Roman" w:hAnsi="Times New Roman" w:cs="Times New Roman"/>
        </w:rPr>
        <w:t>eserve Bank of India.</w:t>
      </w:r>
      <w:r w:rsidRPr="00101F20">
        <w:rPr>
          <w:rFonts w:ascii="Times New Roman" w:hAnsi="Times New Roman" w:cs="Times New Roman"/>
        </w:rPr>
        <w:t xml:space="preserve"> 2014. Reserve Bank of India bulletin, January 2014. </w:t>
      </w:r>
      <w:r w:rsidRPr="00101F20">
        <w:rPr>
          <w:rFonts w:ascii="Times New Roman" w:hAnsi="Times New Roman" w:cs="Times New Roman"/>
          <w:i/>
        </w:rPr>
        <w:t>RBI Bulletin</w:t>
      </w:r>
      <w:r w:rsidRPr="00101F20">
        <w:rPr>
          <w:rFonts w:ascii="Times New Roman" w:hAnsi="Times New Roman" w:cs="Times New Roman"/>
        </w:rPr>
        <w:t xml:space="preserve">, </w:t>
      </w:r>
      <w:r w:rsidRPr="00101F20">
        <w:rPr>
          <w:rFonts w:ascii="Times New Roman" w:eastAsia="Times New Roman" w:hAnsi="Times New Roman" w:cs="Times New Roman"/>
        </w:rPr>
        <w:t>68(1): 1-118.</w:t>
      </w:r>
    </w:p>
    <w:p w:rsidR="00176843" w:rsidRPr="00101F20" w:rsidRDefault="00176843" w:rsidP="00503CD1">
      <w:pPr>
        <w:spacing w:after="0" w:line="480" w:lineRule="auto"/>
        <w:jc w:val="both"/>
        <w:rPr>
          <w:rFonts w:ascii="Times New Roman" w:eastAsia="Times New Roman" w:hAnsi="Times New Roman" w:cs="Times New Roman"/>
        </w:rPr>
      </w:pPr>
    </w:p>
    <w:p w:rsidR="00176843" w:rsidRPr="00101F20" w:rsidRDefault="00176843" w:rsidP="00503CD1">
      <w:pPr>
        <w:spacing w:after="0" w:line="480" w:lineRule="auto"/>
        <w:jc w:val="both"/>
        <w:rPr>
          <w:rFonts w:ascii="Times New Roman" w:eastAsia="Times New Roman" w:hAnsi="Times New Roman" w:cs="Times New Roman"/>
        </w:rPr>
      </w:pPr>
      <w:r w:rsidRPr="00101F20">
        <w:rPr>
          <w:rFonts w:ascii="Times New Roman" w:hAnsi="Times New Roman" w:cs="Times New Roman"/>
        </w:rPr>
        <w:t>Reserve Bank of India</w:t>
      </w:r>
      <w:r w:rsidR="000C38FE">
        <w:rPr>
          <w:rFonts w:ascii="Times New Roman" w:hAnsi="Times New Roman" w:cs="Times New Roman"/>
        </w:rPr>
        <w:t>.</w:t>
      </w:r>
      <w:r w:rsidRPr="00101F20">
        <w:rPr>
          <w:rFonts w:ascii="Times New Roman" w:hAnsi="Times New Roman" w:cs="Times New Roman"/>
        </w:rPr>
        <w:t xml:space="preserve"> 2013. Overseas Direct Investment for December 2012. </w:t>
      </w:r>
      <w:hyperlink r:id="rId16" w:history="1">
        <w:r w:rsidRPr="00101F20">
          <w:rPr>
            <w:rStyle w:val="Hyperlink"/>
            <w:rFonts w:ascii="Times New Roman" w:hAnsi="Times New Roman" w:cs="Times New Roman"/>
            <w:color w:val="auto"/>
            <w:u w:val="none"/>
          </w:rPr>
          <w:t>http://rbidocs.rbi.org.in/rdocs/PressRelease/PDFs/IEPR1193OD0113.pdf</w:t>
        </w:r>
      </w:hyperlink>
      <w:r w:rsidRPr="00101F20">
        <w:rPr>
          <w:rFonts w:ascii="Times New Roman" w:hAnsi="Times New Roman" w:cs="Times New Roman"/>
        </w:rPr>
        <w:t>. Accessed 17 January 2014.</w:t>
      </w:r>
    </w:p>
    <w:p w:rsidR="00176843" w:rsidRPr="00101F20" w:rsidRDefault="00176843" w:rsidP="00503CD1">
      <w:pPr>
        <w:spacing w:after="0" w:line="480" w:lineRule="auto"/>
        <w:jc w:val="both"/>
        <w:rPr>
          <w:rFonts w:ascii="Times New Roman" w:eastAsia="Times New Roman" w:hAnsi="Times New Roman" w:cs="Times New Roman"/>
        </w:rPr>
      </w:pPr>
    </w:p>
    <w:p w:rsidR="00176843" w:rsidRPr="00101F20" w:rsidRDefault="00176843" w:rsidP="00503CD1">
      <w:pPr>
        <w:spacing w:after="0" w:line="480" w:lineRule="auto"/>
        <w:jc w:val="both"/>
        <w:rPr>
          <w:rFonts w:ascii="Times New Roman" w:hAnsi="Times New Roman" w:cs="Times New Roman"/>
        </w:rPr>
      </w:pPr>
      <w:r w:rsidRPr="00101F20">
        <w:rPr>
          <w:rFonts w:ascii="Times New Roman" w:hAnsi="Times New Roman" w:cs="Times New Roman"/>
        </w:rPr>
        <w:t xml:space="preserve">Sauvant, K.P., &amp; Pradhan, J.P. 2010. </w:t>
      </w:r>
      <w:r w:rsidRPr="00101F20">
        <w:rPr>
          <w:rFonts w:ascii="Times New Roman" w:hAnsi="Times New Roman" w:cs="Times New Roman"/>
          <w:i/>
        </w:rPr>
        <w:t>The rise of Indian multinationals. Perspectives on Indian outward foreign direct investment.</w:t>
      </w:r>
      <w:r w:rsidRPr="00101F20">
        <w:rPr>
          <w:rFonts w:ascii="Times New Roman" w:hAnsi="Times New Roman" w:cs="Times New Roman"/>
        </w:rPr>
        <w:t xml:space="preserve"> New York: Palgrave Macmillan.</w:t>
      </w:r>
    </w:p>
    <w:p w:rsidR="00176843" w:rsidRPr="00101F20" w:rsidRDefault="00176843" w:rsidP="00503CD1">
      <w:pPr>
        <w:spacing w:after="0" w:line="480" w:lineRule="auto"/>
        <w:jc w:val="both"/>
        <w:rPr>
          <w:rFonts w:ascii="Times New Roman" w:hAnsi="Times New Roman" w:cs="Times New Roman"/>
        </w:rPr>
      </w:pPr>
    </w:p>
    <w:p w:rsidR="00176843" w:rsidRPr="00101F20" w:rsidRDefault="00176843" w:rsidP="00503CD1">
      <w:pPr>
        <w:spacing w:after="0" w:line="480" w:lineRule="auto"/>
        <w:jc w:val="both"/>
        <w:rPr>
          <w:rFonts w:ascii="Times New Roman" w:hAnsi="Times New Roman" w:cs="Times New Roman"/>
        </w:rPr>
      </w:pPr>
      <w:r w:rsidRPr="00101F20">
        <w:rPr>
          <w:rFonts w:ascii="Times New Roman" w:hAnsi="Times New Roman" w:cs="Times New Roman"/>
        </w:rPr>
        <w:t xml:space="preserve">Singal, A., &amp; Jain, A.K. 2012. Outward FDI Trends from India: Emerging MNCs and Strategic Issues. </w:t>
      </w:r>
      <w:r w:rsidRPr="00101F20">
        <w:rPr>
          <w:rFonts w:ascii="Times New Roman" w:hAnsi="Times New Roman" w:cs="Times New Roman"/>
          <w:i/>
        </w:rPr>
        <w:t>International Journal of Emerging Markets</w:t>
      </w:r>
      <w:r w:rsidRPr="00101F20">
        <w:rPr>
          <w:rFonts w:ascii="Times New Roman" w:hAnsi="Times New Roman" w:cs="Times New Roman"/>
        </w:rPr>
        <w:t>, 7(4): 443-456.</w:t>
      </w:r>
    </w:p>
    <w:p w:rsidR="00176843" w:rsidRPr="00101F20" w:rsidRDefault="00176843" w:rsidP="00503CD1">
      <w:pPr>
        <w:spacing w:after="0" w:line="480" w:lineRule="auto"/>
        <w:jc w:val="both"/>
        <w:rPr>
          <w:rFonts w:ascii="Times New Roman" w:hAnsi="Times New Roman" w:cs="Times New Roman"/>
        </w:rPr>
      </w:pPr>
    </w:p>
    <w:p w:rsidR="00176843" w:rsidRPr="00450F09" w:rsidRDefault="00176843" w:rsidP="00503CD1">
      <w:pPr>
        <w:spacing w:after="0" w:line="480" w:lineRule="auto"/>
        <w:jc w:val="both"/>
        <w:rPr>
          <w:rFonts w:ascii="Times New Roman" w:hAnsi="Times New Roman" w:cs="Times New Roman"/>
        </w:rPr>
      </w:pPr>
      <w:r w:rsidRPr="00450F09">
        <w:rPr>
          <w:rFonts w:ascii="Times New Roman" w:hAnsi="Times New Roman" w:cs="Times New Roman"/>
        </w:rPr>
        <w:t xml:space="preserve">Thoppil, D.A. 2013. Indian IT firms step up shopping in Europe. </w:t>
      </w:r>
      <w:hyperlink r:id="rId17" w:history="1">
        <w:r w:rsidR="00450F09" w:rsidRPr="00450F09">
          <w:rPr>
            <w:rStyle w:val="Hyperlink"/>
            <w:rFonts w:ascii="Times New Roman" w:hAnsi="Times New Roman" w:cs="Times New Roman"/>
            <w:color w:val="auto"/>
            <w:u w:val="none"/>
          </w:rPr>
          <w:t>http://blogs.wsj.com/indiarealtime/2013/04/09/indian-it-firms-step-up-acquisitions-in-europe/</w:t>
        </w:r>
      </w:hyperlink>
      <w:r w:rsidRPr="00450F09">
        <w:rPr>
          <w:rFonts w:ascii="Times New Roman" w:hAnsi="Times New Roman" w:cs="Times New Roman"/>
        </w:rPr>
        <w:t>.</w:t>
      </w:r>
      <w:r w:rsidR="00450F09" w:rsidRPr="00450F09">
        <w:rPr>
          <w:rFonts w:ascii="Times New Roman" w:hAnsi="Times New Roman" w:cs="Times New Roman"/>
        </w:rPr>
        <w:t xml:space="preserve"> Accessed 17 January 2014.</w:t>
      </w:r>
    </w:p>
    <w:p w:rsidR="00176843" w:rsidRPr="00101F20" w:rsidRDefault="00176843" w:rsidP="00503CD1">
      <w:pPr>
        <w:spacing w:after="0" w:line="480" w:lineRule="auto"/>
        <w:jc w:val="both"/>
        <w:rPr>
          <w:rFonts w:ascii="Times New Roman" w:hAnsi="Times New Roman" w:cs="Times New Roman"/>
        </w:rPr>
      </w:pPr>
    </w:p>
    <w:p w:rsidR="00176843" w:rsidRPr="00101F20" w:rsidRDefault="00176843" w:rsidP="00503CD1">
      <w:pPr>
        <w:spacing w:after="0" w:line="480" w:lineRule="auto"/>
        <w:jc w:val="both"/>
        <w:rPr>
          <w:rFonts w:ascii="Times New Roman" w:hAnsi="Times New Roman" w:cs="Times New Roman"/>
        </w:rPr>
      </w:pPr>
      <w:r w:rsidRPr="00101F20">
        <w:rPr>
          <w:rFonts w:ascii="Times New Roman" w:hAnsi="Times New Roman" w:cs="Times New Roman"/>
        </w:rPr>
        <w:t>Tiwari, R. 2013. Indian firms in Germany: Recent developments and the road ahead. Indo-German chamber of commerce, annual review 2013.</w:t>
      </w:r>
    </w:p>
    <w:p w:rsidR="00176843" w:rsidRPr="00101F20" w:rsidRDefault="00176843" w:rsidP="00503CD1">
      <w:pPr>
        <w:spacing w:after="0" w:line="480" w:lineRule="auto"/>
        <w:jc w:val="both"/>
        <w:rPr>
          <w:rFonts w:ascii="Times New Roman" w:hAnsi="Times New Roman" w:cs="Times New Roman"/>
          <w:highlight w:val="yellow"/>
        </w:rPr>
      </w:pPr>
    </w:p>
    <w:p w:rsidR="00176843" w:rsidRDefault="00176843" w:rsidP="00503CD1">
      <w:pPr>
        <w:spacing w:after="0" w:line="480" w:lineRule="auto"/>
        <w:jc w:val="both"/>
        <w:rPr>
          <w:rFonts w:ascii="Times New Roman" w:hAnsi="Times New Roman" w:cs="Times New Roman"/>
        </w:rPr>
      </w:pPr>
      <w:r w:rsidRPr="00101F20">
        <w:rPr>
          <w:rFonts w:ascii="Times New Roman" w:hAnsi="Times New Roman" w:cs="Times New Roman"/>
        </w:rPr>
        <w:t>Tiwari, R., &amp; Herstatt, C. 2010. Indian firms in Germany: Recent FDI trends and critical success factors. Indo-German chamber of commerce, annual review 2010.</w:t>
      </w:r>
    </w:p>
    <w:p w:rsidR="000C38FE" w:rsidRPr="00101F20" w:rsidRDefault="000C38FE" w:rsidP="00503CD1">
      <w:pPr>
        <w:spacing w:after="0" w:line="480" w:lineRule="auto"/>
        <w:jc w:val="both"/>
        <w:rPr>
          <w:rFonts w:ascii="Times New Roman" w:hAnsi="Times New Roman" w:cs="Times New Roman"/>
        </w:rPr>
      </w:pPr>
    </w:p>
    <w:p w:rsidR="00176843" w:rsidRPr="00101F20" w:rsidRDefault="00176843" w:rsidP="00503CD1">
      <w:pPr>
        <w:spacing w:after="0" w:line="480" w:lineRule="auto"/>
        <w:jc w:val="both"/>
        <w:rPr>
          <w:rFonts w:ascii="Times New Roman" w:hAnsi="Times New Roman" w:cs="Times New Roman"/>
        </w:rPr>
      </w:pPr>
      <w:r w:rsidRPr="00101F20">
        <w:rPr>
          <w:rFonts w:ascii="Times New Roman" w:hAnsi="Times New Roman" w:cs="Times New Roman"/>
        </w:rPr>
        <w:t>UNCTAD</w:t>
      </w:r>
      <w:r w:rsidR="000C38FE">
        <w:rPr>
          <w:rFonts w:ascii="Times New Roman" w:hAnsi="Times New Roman" w:cs="Times New Roman"/>
        </w:rPr>
        <w:t>.</w:t>
      </w:r>
      <w:r w:rsidRPr="00101F20">
        <w:rPr>
          <w:rFonts w:ascii="Times New Roman" w:hAnsi="Times New Roman" w:cs="Times New Roman"/>
        </w:rPr>
        <w:t xml:space="preserve"> 2012. </w:t>
      </w:r>
      <w:r w:rsidRPr="00101F20">
        <w:rPr>
          <w:rFonts w:ascii="Times New Roman" w:hAnsi="Times New Roman" w:cs="Times New Roman"/>
          <w:i/>
        </w:rPr>
        <w:t>Towards a new generation of investment policies.</w:t>
      </w:r>
      <w:r w:rsidRPr="00101F20">
        <w:rPr>
          <w:rFonts w:ascii="Times New Roman" w:hAnsi="Times New Roman" w:cs="Times New Roman"/>
        </w:rPr>
        <w:t xml:space="preserve"> World Investment Report-2012. Geneva: United Nations Publication.</w:t>
      </w:r>
    </w:p>
    <w:p w:rsidR="00176843" w:rsidRPr="00101F20" w:rsidRDefault="00176843" w:rsidP="00503CD1">
      <w:pPr>
        <w:spacing w:after="0" w:line="480" w:lineRule="auto"/>
        <w:jc w:val="both"/>
        <w:rPr>
          <w:rFonts w:ascii="Times New Roman" w:hAnsi="Times New Roman" w:cs="Times New Roman"/>
        </w:rPr>
      </w:pPr>
    </w:p>
    <w:p w:rsidR="00176843" w:rsidRPr="00101F20" w:rsidRDefault="00176843" w:rsidP="00503CD1">
      <w:pPr>
        <w:spacing w:after="0" w:line="480" w:lineRule="auto"/>
        <w:jc w:val="both"/>
        <w:rPr>
          <w:rFonts w:ascii="Times New Roman" w:eastAsia="Times New Roman" w:hAnsi="Times New Roman" w:cs="Times New Roman"/>
        </w:rPr>
      </w:pPr>
      <w:r w:rsidRPr="00101F20">
        <w:rPr>
          <w:rFonts w:ascii="Times New Roman" w:hAnsi="Times New Roman" w:cs="Times New Roman"/>
        </w:rPr>
        <w:t>UNCTAD</w:t>
      </w:r>
      <w:r w:rsidR="000C38FE">
        <w:rPr>
          <w:rFonts w:ascii="Times New Roman" w:hAnsi="Times New Roman" w:cs="Times New Roman"/>
        </w:rPr>
        <w:t>.</w:t>
      </w:r>
      <w:r w:rsidRPr="00101F20">
        <w:rPr>
          <w:rFonts w:ascii="Times New Roman" w:hAnsi="Times New Roman" w:cs="Times New Roman"/>
        </w:rPr>
        <w:t xml:space="preserve"> 2013. </w:t>
      </w:r>
      <w:r w:rsidRPr="00101F20">
        <w:rPr>
          <w:rFonts w:ascii="Times New Roman" w:hAnsi="Times New Roman" w:cs="Times New Roman"/>
          <w:i/>
        </w:rPr>
        <w:t>Global value chains: Investments and trade for development.</w:t>
      </w:r>
      <w:r w:rsidRPr="00101F20">
        <w:rPr>
          <w:rFonts w:ascii="Times New Roman" w:hAnsi="Times New Roman" w:cs="Times New Roman"/>
        </w:rPr>
        <w:t xml:space="preserve"> World Investment Report-2013. Geneva: United Nations Publication.</w:t>
      </w:r>
    </w:p>
    <w:p w:rsidR="00176843" w:rsidRPr="00101F20" w:rsidRDefault="00176843" w:rsidP="00503CD1">
      <w:pPr>
        <w:spacing w:after="0" w:line="480" w:lineRule="auto"/>
        <w:jc w:val="both"/>
        <w:rPr>
          <w:rFonts w:ascii="Times New Roman" w:eastAsia="Times New Roman" w:hAnsi="Times New Roman" w:cs="Times New Roman"/>
        </w:rPr>
      </w:pPr>
    </w:p>
    <w:p w:rsidR="00176843" w:rsidRPr="00101F20" w:rsidRDefault="00176843" w:rsidP="00503CD1">
      <w:pPr>
        <w:spacing w:after="0" w:line="480" w:lineRule="auto"/>
        <w:jc w:val="both"/>
        <w:rPr>
          <w:rFonts w:ascii="Times New Roman" w:eastAsia="Times New Roman" w:hAnsi="Times New Roman" w:cs="Times New Roman"/>
        </w:rPr>
      </w:pPr>
      <w:r w:rsidRPr="004B6640">
        <w:rPr>
          <w:rFonts w:ascii="Times New Roman" w:hAnsi="Times New Roman" w:cs="Times New Roman"/>
        </w:rPr>
        <w:lastRenderedPageBreak/>
        <w:t xml:space="preserve">Verma, R. &amp; Brennan, L. 2011. The Investment Development Path Theory: Evidence from India. </w:t>
      </w:r>
      <w:r w:rsidRPr="004B6640">
        <w:rPr>
          <w:rFonts w:ascii="Times New Roman" w:hAnsi="Times New Roman" w:cs="Times New Roman"/>
          <w:i/>
        </w:rPr>
        <w:t>International Journal of Emerging Markets</w:t>
      </w:r>
      <w:r w:rsidRPr="004B6640">
        <w:rPr>
          <w:rFonts w:ascii="Times New Roman" w:hAnsi="Times New Roman" w:cs="Times New Roman"/>
        </w:rPr>
        <w:t>, 6(1): 74-89.</w:t>
      </w:r>
    </w:p>
    <w:p w:rsidR="00176843" w:rsidRPr="00101F20" w:rsidRDefault="00176843" w:rsidP="00503CD1">
      <w:pPr>
        <w:spacing w:after="0" w:line="480" w:lineRule="auto"/>
        <w:jc w:val="both"/>
        <w:rPr>
          <w:rFonts w:ascii="Times New Roman" w:eastAsia="Times New Roman" w:hAnsi="Times New Roman" w:cs="Times New Roman"/>
        </w:rPr>
      </w:pPr>
    </w:p>
    <w:p w:rsidR="00176843" w:rsidRPr="00101F20" w:rsidRDefault="00176843" w:rsidP="00503CD1">
      <w:pPr>
        <w:spacing w:after="0" w:line="480" w:lineRule="auto"/>
        <w:jc w:val="both"/>
        <w:rPr>
          <w:rFonts w:ascii="Times New Roman" w:hAnsi="Times New Roman" w:cs="Times New Roman"/>
        </w:rPr>
      </w:pPr>
      <w:r w:rsidRPr="00101F20">
        <w:rPr>
          <w:rFonts w:ascii="Times New Roman" w:hAnsi="Times New Roman" w:cs="Times New Roman"/>
        </w:rPr>
        <w:t xml:space="preserve">Williamson, P., &amp; Raman, A.P. 2011. How China resets its global acquisition agenda. </w:t>
      </w:r>
      <w:r w:rsidRPr="00101F20">
        <w:rPr>
          <w:rFonts w:ascii="Times New Roman" w:hAnsi="Times New Roman" w:cs="Times New Roman"/>
          <w:i/>
        </w:rPr>
        <w:t xml:space="preserve">Harvard Business Review, </w:t>
      </w:r>
      <w:r w:rsidRPr="00101F20">
        <w:rPr>
          <w:rFonts w:ascii="Times New Roman" w:hAnsi="Times New Roman" w:cs="Times New Roman"/>
        </w:rPr>
        <w:t>89(4): 109-114.</w:t>
      </w:r>
    </w:p>
    <w:p w:rsidR="001A1FF8" w:rsidRPr="00686357" w:rsidRDefault="001A1FF8" w:rsidP="00503CD1">
      <w:pPr>
        <w:autoSpaceDE w:val="0"/>
        <w:autoSpaceDN w:val="0"/>
        <w:adjustRightInd w:val="0"/>
        <w:spacing w:after="0" w:line="480" w:lineRule="auto"/>
        <w:jc w:val="both"/>
        <w:rPr>
          <w:rFonts w:ascii="Times New Roman" w:hAnsi="Times New Roman" w:cs="Times New Roman"/>
        </w:rPr>
      </w:pPr>
    </w:p>
    <w:sectPr w:rsidR="001A1FF8" w:rsidRPr="00686357" w:rsidSect="00903274">
      <w:footerReference w:type="default" r:id="rId18"/>
      <w:footerReference w:type="first" r:id="rId19"/>
      <w:pgSz w:w="12240" w:h="15840"/>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F5" w:rsidRDefault="002E77F5" w:rsidP="00686357">
      <w:pPr>
        <w:spacing w:after="0" w:line="240" w:lineRule="auto"/>
      </w:pPr>
      <w:r>
        <w:separator/>
      </w:r>
    </w:p>
  </w:endnote>
  <w:endnote w:type="continuationSeparator" w:id="0">
    <w:p w:rsidR="002E77F5" w:rsidRDefault="002E77F5" w:rsidP="0068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537713"/>
      <w:docPartObj>
        <w:docPartGallery w:val="Page Numbers (Bottom of Page)"/>
        <w:docPartUnique/>
      </w:docPartObj>
    </w:sdtPr>
    <w:sdtEndPr/>
    <w:sdtContent>
      <w:p w:rsidR="00BE3F2D" w:rsidRDefault="00BE3F2D">
        <w:pPr>
          <w:pStyle w:val="Footer"/>
          <w:jc w:val="right"/>
        </w:pPr>
        <w:r>
          <w:fldChar w:fldCharType="begin"/>
        </w:r>
        <w:r>
          <w:instrText>PAGE   \* MERGEFORMAT</w:instrText>
        </w:r>
        <w:r>
          <w:fldChar w:fldCharType="separate"/>
        </w:r>
        <w:r w:rsidR="002210AA" w:rsidRPr="002210AA">
          <w:rPr>
            <w:noProof/>
            <w:lang w:val="de-DE"/>
          </w:rPr>
          <w:t>3</w:t>
        </w:r>
        <w:r>
          <w:fldChar w:fldCharType="end"/>
        </w:r>
      </w:p>
    </w:sdtContent>
  </w:sdt>
  <w:p w:rsidR="00BE3F2D" w:rsidRDefault="00BE3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AA" w:rsidRDefault="002210AA" w:rsidP="002210AA">
    <w:pPr>
      <w:pStyle w:val="PlainText"/>
      <w:rPr>
        <w:rFonts w:ascii="Times New Roman" w:hAnsi="Times New Roman" w:cs="Times New Roman"/>
        <w:szCs w:val="22"/>
      </w:rPr>
    </w:pPr>
    <w:r>
      <w:rPr>
        <w:rFonts w:ascii="Times New Roman" w:hAnsi="Times New Roman" w:cs="Times New Roman"/>
        <w:szCs w:val="22"/>
      </w:rPr>
      <w:t xml:space="preserve">Paper presented at The 4th Copenhagen Conference on ’Emerging Multinationals’: </w:t>
    </w:r>
  </w:p>
  <w:p w:rsidR="002210AA" w:rsidRDefault="002210AA" w:rsidP="002210AA">
    <w:pPr>
      <w:pStyle w:val="PlainText"/>
      <w:rPr>
        <w:rFonts w:ascii="Times New Roman" w:hAnsi="Times New Roman" w:cs="Times New Roman"/>
        <w:szCs w:val="22"/>
      </w:rPr>
    </w:pPr>
    <w:r>
      <w:rPr>
        <w:rFonts w:ascii="Times New Roman" w:hAnsi="Times New Roman" w:cs="Times New Roman"/>
        <w:szCs w:val="22"/>
      </w:rPr>
      <w:t>Outward Investment from Emerging Economies, Copenhagen, Denmark, 9-10 October 2014</w:t>
    </w:r>
  </w:p>
  <w:p w:rsidR="002210AA" w:rsidRPr="002210AA" w:rsidRDefault="002210AA" w:rsidP="00221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F5" w:rsidRDefault="002E77F5" w:rsidP="00686357">
      <w:pPr>
        <w:spacing w:after="0" w:line="240" w:lineRule="auto"/>
      </w:pPr>
      <w:r>
        <w:separator/>
      </w:r>
    </w:p>
  </w:footnote>
  <w:footnote w:type="continuationSeparator" w:id="0">
    <w:p w:rsidR="002E77F5" w:rsidRDefault="002E77F5" w:rsidP="00686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73A4"/>
    <w:multiLevelType w:val="multilevel"/>
    <w:tmpl w:val="531A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66B15"/>
    <w:multiLevelType w:val="hybridMultilevel"/>
    <w:tmpl w:val="9EF493B2"/>
    <w:lvl w:ilvl="0" w:tplc="97E49726">
      <w:start w:val="1"/>
      <w:numFmt w:val="bullet"/>
      <w:lvlText w:val="•"/>
      <w:lvlJc w:val="left"/>
      <w:pPr>
        <w:tabs>
          <w:tab w:val="num" w:pos="720"/>
        </w:tabs>
        <w:ind w:left="720" w:hanging="360"/>
      </w:pPr>
      <w:rPr>
        <w:rFonts w:ascii="Arial" w:hAnsi="Arial" w:hint="default"/>
      </w:rPr>
    </w:lvl>
    <w:lvl w:ilvl="1" w:tplc="FB1ADA90" w:tentative="1">
      <w:start w:val="1"/>
      <w:numFmt w:val="bullet"/>
      <w:lvlText w:val="•"/>
      <w:lvlJc w:val="left"/>
      <w:pPr>
        <w:tabs>
          <w:tab w:val="num" w:pos="1440"/>
        </w:tabs>
        <w:ind w:left="1440" w:hanging="360"/>
      </w:pPr>
      <w:rPr>
        <w:rFonts w:ascii="Arial" w:hAnsi="Arial" w:hint="default"/>
      </w:rPr>
    </w:lvl>
    <w:lvl w:ilvl="2" w:tplc="55B2F254" w:tentative="1">
      <w:start w:val="1"/>
      <w:numFmt w:val="bullet"/>
      <w:lvlText w:val="•"/>
      <w:lvlJc w:val="left"/>
      <w:pPr>
        <w:tabs>
          <w:tab w:val="num" w:pos="2160"/>
        </w:tabs>
        <w:ind w:left="2160" w:hanging="360"/>
      </w:pPr>
      <w:rPr>
        <w:rFonts w:ascii="Arial" w:hAnsi="Arial" w:hint="default"/>
      </w:rPr>
    </w:lvl>
    <w:lvl w:ilvl="3" w:tplc="2158788A" w:tentative="1">
      <w:start w:val="1"/>
      <w:numFmt w:val="bullet"/>
      <w:lvlText w:val="•"/>
      <w:lvlJc w:val="left"/>
      <w:pPr>
        <w:tabs>
          <w:tab w:val="num" w:pos="2880"/>
        </w:tabs>
        <w:ind w:left="2880" w:hanging="360"/>
      </w:pPr>
      <w:rPr>
        <w:rFonts w:ascii="Arial" w:hAnsi="Arial" w:hint="default"/>
      </w:rPr>
    </w:lvl>
    <w:lvl w:ilvl="4" w:tplc="C3CAD646" w:tentative="1">
      <w:start w:val="1"/>
      <w:numFmt w:val="bullet"/>
      <w:lvlText w:val="•"/>
      <w:lvlJc w:val="left"/>
      <w:pPr>
        <w:tabs>
          <w:tab w:val="num" w:pos="3600"/>
        </w:tabs>
        <w:ind w:left="3600" w:hanging="360"/>
      </w:pPr>
      <w:rPr>
        <w:rFonts w:ascii="Arial" w:hAnsi="Arial" w:hint="default"/>
      </w:rPr>
    </w:lvl>
    <w:lvl w:ilvl="5" w:tplc="EEBAFD52" w:tentative="1">
      <w:start w:val="1"/>
      <w:numFmt w:val="bullet"/>
      <w:lvlText w:val="•"/>
      <w:lvlJc w:val="left"/>
      <w:pPr>
        <w:tabs>
          <w:tab w:val="num" w:pos="4320"/>
        </w:tabs>
        <w:ind w:left="4320" w:hanging="360"/>
      </w:pPr>
      <w:rPr>
        <w:rFonts w:ascii="Arial" w:hAnsi="Arial" w:hint="default"/>
      </w:rPr>
    </w:lvl>
    <w:lvl w:ilvl="6" w:tplc="BDC236A2" w:tentative="1">
      <w:start w:val="1"/>
      <w:numFmt w:val="bullet"/>
      <w:lvlText w:val="•"/>
      <w:lvlJc w:val="left"/>
      <w:pPr>
        <w:tabs>
          <w:tab w:val="num" w:pos="5040"/>
        </w:tabs>
        <w:ind w:left="5040" w:hanging="360"/>
      </w:pPr>
      <w:rPr>
        <w:rFonts w:ascii="Arial" w:hAnsi="Arial" w:hint="default"/>
      </w:rPr>
    </w:lvl>
    <w:lvl w:ilvl="7" w:tplc="33B4C866" w:tentative="1">
      <w:start w:val="1"/>
      <w:numFmt w:val="bullet"/>
      <w:lvlText w:val="•"/>
      <w:lvlJc w:val="left"/>
      <w:pPr>
        <w:tabs>
          <w:tab w:val="num" w:pos="5760"/>
        </w:tabs>
        <w:ind w:left="5760" w:hanging="360"/>
      </w:pPr>
      <w:rPr>
        <w:rFonts w:ascii="Arial" w:hAnsi="Arial" w:hint="default"/>
      </w:rPr>
    </w:lvl>
    <w:lvl w:ilvl="8" w:tplc="7DFC96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28"/>
    <w:rsid w:val="00001B36"/>
    <w:rsid w:val="00015630"/>
    <w:rsid w:val="000208EC"/>
    <w:rsid w:val="000255AA"/>
    <w:rsid w:val="00026CEE"/>
    <w:rsid w:val="0003242F"/>
    <w:rsid w:val="00053BF3"/>
    <w:rsid w:val="00053C55"/>
    <w:rsid w:val="000618EB"/>
    <w:rsid w:val="00074EF6"/>
    <w:rsid w:val="00080BE3"/>
    <w:rsid w:val="00085B55"/>
    <w:rsid w:val="000A35BE"/>
    <w:rsid w:val="000B5005"/>
    <w:rsid w:val="000C125F"/>
    <w:rsid w:val="000C38FE"/>
    <w:rsid w:val="000C497A"/>
    <w:rsid w:val="000C72B0"/>
    <w:rsid w:val="000D0390"/>
    <w:rsid w:val="000E0696"/>
    <w:rsid w:val="000E1BF4"/>
    <w:rsid w:val="0010273C"/>
    <w:rsid w:val="001031CF"/>
    <w:rsid w:val="00116ABC"/>
    <w:rsid w:val="00117666"/>
    <w:rsid w:val="0012223E"/>
    <w:rsid w:val="00126872"/>
    <w:rsid w:val="00143E15"/>
    <w:rsid w:val="00143E91"/>
    <w:rsid w:val="001552A4"/>
    <w:rsid w:val="0016759F"/>
    <w:rsid w:val="00170C59"/>
    <w:rsid w:val="001738D9"/>
    <w:rsid w:val="00176843"/>
    <w:rsid w:val="001977AE"/>
    <w:rsid w:val="001A1FF8"/>
    <w:rsid w:val="001A41B4"/>
    <w:rsid w:val="001C78A4"/>
    <w:rsid w:val="001D56BD"/>
    <w:rsid w:val="001D5CDE"/>
    <w:rsid w:val="001D7BDB"/>
    <w:rsid w:val="001E0730"/>
    <w:rsid w:val="001E29C4"/>
    <w:rsid w:val="001E5276"/>
    <w:rsid w:val="0021108F"/>
    <w:rsid w:val="002129C6"/>
    <w:rsid w:val="00213A56"/>
    <w:rsid w:val="002210AA"/>
    <w:rsid w:val="002311A0"/>
    <w:rsid w:val="00241ABD"/>
    <w:rsid w:val="00247498"/>
    <w:rsid w:val="00252ABB"/>
    <w:rsid w:val="00252DD0"/>
    <w:rsid w:val="00255034"/>
    <w:rsid w:val="002566AA"/>
    <w:rsid w:val="002627F6"/>
    <w:rsid w:val="0027736F"/>
    <w:rsid w:val="00290290"/>
    <w:rsid w:val="00295290"/>
    <w:rsid w:val="002B7CBD"/>
    <w:rsid w:val="002C01FD"/>
    <w:rsid w:val="002C4700"/>
    <w:rsid w:val="002C6A19"/>
    <w:rsid w:val="002C7315"/>
    <w:rsid w:val="002D221F"/>
    <w:rsid w:val="002E4061"/>
    <w:rsid w:val="002E77F5"/>
    <w:rsid w:val="002F2B25"/>
    <w:rsid w:val="002F3C80"/>
    <w:rsid w:val="00302E70"/>
    <w:rsid w:val="00303A97"/>
    <w:rsid w:val="003460C7"/>
    <w:rsid w:val="00354094"/>
    <w:rsid w:val="003544BE"/>
    <w:rsid w:val="003620AF"/>
    <w:rsid w:val="00372FB2"/>
    <w:rsid w:val="00374569"/>
    <w:rsid w:val="003800F0"/>
    <w:rsid w:val="00393214"/>
    <w:rsid w:val="00395A59"/>
    <w:rsid w:val="003A06AB"/>
    <w:rsid w:val="003B3FD3"/>
    <w:rsid w:val="003C743C"/>
    <w:rsid w:val="003D14B9"/>
    <w:rsid w:val="003D765A"/>
    <w:rsid w:val="003E2B26"/>
    <w:rsid w:val="003E2CE9"/>
    <w:rsid w:val="003E4F37"/>
    <w:rsid w:val="003E7E55"/>
    <w:rsid w:val="003F1E7E"/>
    <w:rsid w:val="003F618B"/>
    <w:rsid w:val="00406469"/>
    <w:rsid w:val="0041057F"/>
    <w:rsid w:val="0041069A"/>
    <w:rsid w:val="004147A3"/>
    <w:rsid w:val="004175B9"/>
    <w:rsid w:val="0042110B"/>
    <w:rsid w:val="00424DB2"/>
    <w:rsid w:val="00450F09"/>
    <w:rsid w:val="00452CBC"/>
    <w:rsid w:val="00454925"/>
    <w:rsid w:val="00464E47"/>
    <w:rsid w:val="004734FB"/>
    <w:rsid w:val="00473D39"/>
    <w:rsid w:val="00486A49"/>
    <w:rsid w:val="004A354A"/>
    <w:rsid w:val="004A5809"/>
    <w:rsid w:val="004B51C7"/>
    <w:rsid w:val="004B6640"/>
    <w:rsid w:val="004C1A75"/>
    <w:rsid w:val="004C5205"/>
    <w:rsid w:val="004D1C5E"/>
    <w:rsid w:val="004D605C"/>
    <w:rsid w:val="004E4075"/>
    <w:rsid w:val="004F4A27"/>
    <w:rsid w:val="0050292E"/>
    <w:rsid w:val="00503A3C"/>
    <w:rsid w:val="00503CD1"/>
    <w:rsid w:val="00513021"/>
    <w:rsid w:val="00520ACC"/>
    <w:rsid w:val="005228A0"/>
    <w:rsid w:val="00540719"/>
    <w:rsid w:val="00544C55"/>
    <w:rsid w:val="00550643"/>
    <w:rsid w:val="00552273"/>
    <w:rsid w:val="00567070"/>
    <w:rsid w:val="00580606"/>
    <w:rsid w:val="005828DD"/>
    <w:rsid w:val="00593149"/>
    <w:rsid w:val="00596A34"/>
    <w:rsid w:val="005A702A"/>
    <w:rsid w:val="005B038B"/>
    <w:rsid w:val="005D52F1"/>
    <w:rsid w:val="005E465E"/>
    <w:rsid w:val="0060522A"/>
    <w:rsid w:val="006067BB"/>
    <w:rsid w:val="0060792A"/>
    <w:rsid w:val="0062419D"/>
    <w:rsid w:val="006335C4"/>
    <w:rsid w:val="006336FC"/>
    <w:rsid w:val="0063578B"/>
    <w:rsid w:val="0064561A"/>
    <w:rsid w:val="00652ECD"/>
    <w:rsid w:val="00667AF4"/>
    <w:rsid w:val="006737AD"/>
    <w:rsid w:val="006737ED"/>
    <w:rsid w:val="0067743F"/>
    <w:rsid w:val="00685661"/>
    <w:rsid w:val="00686357"/>
    <w:rsid w:val="00696EAA"/>
    <w:rsid w:val="006A7993"/>
    <w:rsid w:val="006B2E40"/>
    <w:rsid w:val="006B4A93"/>
    <w:rsid w:val="006B5E27"/>
    <w:rsid w:val="006B6E0D"/>
    <w:rsid w:val="006C062C"/>
    <w:rsid w:val="006C3F9E"/>
    <w:rsid w:val="006C4FAA"/>
    <w:rsid w:val="006D437D"/>
    <w:rsid w:val="006D61DA"/>
    <w:rsid w:val="006F1445"/>
    <w:rsid w:val="0072386E"/>
    <w:rsid w:val="00735124"/>
    <w:rsid w:val="0074577D"/>
    <w:rsid w:val="00747D2B"/>
    <w:rsid w:val="00750E8B"/>
    <w:rsid w:val="00756734"/>
    <w:rsid w:val="00757D6A"/>
    <w:rsid w:val="0077322E"/>
    <w:rsid w:val="007747EC"/>
    <w:rsid w:val="00774C66"/>
    <w:rsid w:val="00780278"/>
    <w:rsid w:val="00781EB7"/>
    <w:rsid w:val="007828DD"/>
    <w:rsid w:val="00782D77"/>
    <w:rsid w:val="00784769"/>
    <w:rsid w:val="00791149"/>
    <w:rsid w:val="00793634"/>
    <w:rsid w:val="00795270"/>
    <w:rsid w:val="007B728F"/>
    <w:rsid w:val="007C0C53"/>
    <w:rsid w:val="007C6F66"/>
    <w:rsid w:val="007D3347"/>
    <w:rsid w:val="007E2033"/>
    <w:rsid w:val="007E51D4"/>
    <w:rsid w:val="007F5F25"/>
    <w:rsid w:val="007F775D"/>
    <w:rsid w:val="0080204B"/>
    <w:rsid w:val="008209B4"/>
    <w:rsid w:val="00836747"/>
    <w:rsid w:val="00840EAE"/>
    <w:rsid w:val="00846FE8"/>
    <w:rsid w:val="0089422A"/>
    <w:rsid w:val="008C4CCB"/>
    <w:rsid w:val="008D007A"/>
    <w:rsid w:val="008D539E"/>
    <w:rsid w:val="009011C2"/>
    <w:rsid w:val="00903274"/>
    <w:rsid w:val="009041ED"/>
    <w:rsid w:val="009047B9"/>
    <w:rsid w:val="009247B0"/>
    <w:rsid w:val="009272B1"/>
    <w:rsid w:val="00932F61"/>
    <w:rsid w:val="00935CE5"/>
    <w:rsid w:val="00945FBA"/>
    <w:rsid w:val="0094716D"/>
    <w:rsid w:val="00947D7B"/>
    <w:rsid w:val="00947F3F"/>
    <w:rsid w:val="00951E57"/>
    <w:rsid w:val="00956F29"/>
    <w:rsid w:val="00960910"/>
    <w:rsid w:val="00961240"/>
    <w:rsid w:val="00962B9E"/>
    <w:rsid w:val="00971220"/>
    <w:rsid w:val="009768FE"/>
    <w:rsid w:val="00977692"/>
    <w:rsid w:val="00995EC8"/>
    <w:rsid w:val="009A3864"/>
    <w:rsid w:val="009D0242"/>
    <w:rsid w:val="009D27A0"/>
    <w:rsid w:val="009E74F8"/>
    <w:rsid w:val="00A104FC"/>
    <w:rsid w:val="00A10D92"/>
    <w:rsid w:val="00A12AC7"/>
    <w:rsid w:val="00A14BCC"/>
    <w:rsid w:val="00A16D87"/>
    <w:rsid w:val="00A224FC"/>
    <w:rsid w:val="00A31A10"/>
    <w:rsid w:val="00A43516"/>
    <w:rsid w:val="00A55923"/>
    <w:rsid w:val="00A628AA"/>
    <w:rsid w:val="00A667C3"/>
    <w:rsid w:val="00A66D62"/>
    <w:rsid w:val="00A6704E"/>
    <w:rsid w:val="00A75386"/>
    <w:rsid w:val="00A75DBA"/>
    <w:rsid w:val="00A81F73"/>
    <w:rsid w:val="00AA5076"/>
    <w:rsid w:val="00AB4008"/>
    <w:rsid w:val="00AC380D"/>
    <w:rsid w:val="00AC41A4"/>
    <w:rsid w:val="00AC4FF2"/>
    <w:rsid w:val="00AC659B"/>
    <w:rsid w:val="00AE0895"/>
    <w:rsid w:val="00B0248B"/>
    <w:rsid w:val="00B178BC"/>
    <w:rsid w:val="00B45828"/>
    <w:rsid w:val="00B51494"/>
    <w:rsid w:val="00B52FCA"/>
    <w:rsid w:val="00B540D2"/>
    <w:rsid w:val="00B72F1C"/>
    <w:rsid w:val="00B763FC"/>
    <w:rsid w:val="00B80FC7"/>
    <w:rsid w:val="00B83005"/>
    <w:rsid w:val="00B8355C"/>
    <w:rsid w:val="00B9390D"/>
    <w:rsid w:val="00B96BE4"/>
    <w:rsid w:val="00B978E4"/>
    <w:rsid w:val="00BA0321"/>
    <w:rsid w:val="00BA08FB"/>
    <w:rsid w:val="00BA151D"/>
    <w:rsid w:val="00BA22B7"/>
    <w:rsid w:val="00BB3AE5"/>
    <w:rsid w:val="00BB6B28"/>
    <w:rsid w:val="00BE3F2D"/>
    <w:rsid w:val="00BE4E01"/>
    <w:rsid w:val="00C05653"/>
    <w:rsid w:val="00C05A65"/>
    <w:rsid w:val="00C07192"/>
    <w:rsid w:val="00C15CE2"/>
    <w:rsid w:val="00C168C0"/>
    <w:rsid w:val="00C34910"/>
    <w:rsid w:val="00C35324"/>
    <w:rsid w:val="00C42100"/>
    <w:rsid w:val="00C47DE5"/>
    <w:rsid w:val="00C51A0E"/>
    <w:rsid w:val="00C536DA"/>
    <w:rsid w:val="00C55E64"/>
    <w:rsid w:val="00C610A2"/>
    <w:rsid w:val="00C646AB"/>
    <w:rsid w:val="00C762CB"/>
    <w:rsid w:val="00C827F0"/>
    <w:rsid w:val="00C838E9"/>
    <w:rsid w:val="00C8575D"/>
    <w:rsid w:val="00CA0EA1"/>
    <w:rsid w:val="00CA4B44"/>
    <w:rsid w:val="00CC0C53"/>
    <w:rsid w:val="00CC18D8"/>
    <w:rsid w:val="00CC1BF8"/>
    <w:rsid w:val="00CC21A0"/>
    <w:rsid w:val="00CD0821"/>
    <w:rsid w:val="00CD21AC"/>
    <w:rsid w:val="00CE5BA1"/>
    <w:rsid w:val="00CF28E5"/>
    <w:rsid w:val="00CF35EB"/>
    <w:rsid w:val="00D0670F"/>
    <w:rsid w:val="00D07BA5"/>
    <w:rsid w:val="00D13D56"/>
    <w:rsid w:val="00D17728"/>
    <w:rsid w:val="00D227C5"/>
    <w:rsid w:val="00D23F4E"/>
    <w:rsid w:val="00D30AC3"/>
    <w:rsid w:val="00D335AC"/>
    <w:rsid w:val="00D33F2F"/>
    <w:rsid w:val="00D44D23"/>
    <w:rsid w:val="00D47370"/>
    <w:rsid w:val="00D508FD"/>
    <w:rsid w:val="00D56E75"/>
    <w:rsid w:val="00D6160D"/>
    <w:rsid w:val="00D619CD"/>
    <w:rsid w:val="00D818A6"/>
    <w:rsid w:val="00D9667A"/>
    <w:rsid w:val="00DA0023"/>
    <w:rsid w:val="00DA1EF9"/>
    <w:rsid w:val="00DA4E8D"/>
    <w:rsid w:val="00DA5B8D"/>
    <w:rsid w:val="00DB4064"/>
    <w:rsid w:val="00DB5E41"/>
    <w:rsid w:val="00DD276F"/>
    <w:rsid w:val="00DD3801"/>
    <w:rsid w:val="00DD4AE8"/>
    <w:rsid w:val="00DE6030"/>
    <w:rsid w:val="00DF31FB"/>
    <w:rsid w:val="00E00436"/>
    <w:rsid w:val="00E01C4B"/>
    <w:rsid w:val="00E0230B"/>
    <w:rsid w:val="00E2420C"/>
    <w:rsid w:val="00E345C7"/>
    <w:rsid w:val="00E50C5C"/>
    <w:rsid w:val="00E5108D"/>
    <w:rsid w:val="00E54540"/>
    <w:rsid w:val="00E54DC9"/>
    <w:rsid w:val="00E56270"/>
    <w:rsid w:val="00E56C42"/>
    <w:rsid w:val="00E602B3"/>
    <w:rsid w:val="00E71F5A"/>
    <w:rsid w:val="00EA2CDC"/>
    <w:rsid w:val="00EC34B5"/>
    <w:rsid w:val="00EC4C74"/>
    <w:rsid w:val="00EC5FE4"/>
    <w:rsid w:val="00EC6D02"/>
    <w:rsid w:val="00ED3AA3"/>
    <w:rsid w:val="00ED6A28"/>
    <w:rsid w:val="00ED6B65"/>
    <w:rsid w:val="00EE03F3"/>
    <w:rsid w:val="00EE1845"/>
    <w:rsid w:val="00EE3863"/>
    <w:rsid w:val="00F0440D"/>
    <w:rsid w:val="00F11A19"/>
    <w:rsid w:val="00F30B34"/>
    <w:rsid w:val="00F32543"/>
    <w:rsid w:val="00F3678F"/>
    <w:rsid w:val="00F37D1C"/>
    <w:rsid w:val="00F44447"/>
    <w:rsid w:val="00F47889"/>
    <w:rsid w:val="00F73533"/>
    <w:rsid w:val="00F7365E"/>
    <w:rsid w:val="00F761DD"/>
    <w:rsid w:val="00F83D24"/>
    <w:rsid w:val="00F91513"/>
    <w:rsid w:val="00FA0882"/>
    <w:rsid w:val="00FB1535"/>
    <w:rsid w:val="00FB25DC"/>
    <w:rsid w:val="00FC6C2A"/>
    <w:rsid w:val="00FC7F6A"/>
    <w:rsid w:val="00FE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6A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16"/>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3516"/>
  </w:style>
  <w:style w:type="paragraph" w:styleId="BalloonText">
    <w:name w:val="Balloon Text"/>
    <w:basedOn w:val="Normal"/>
    <w:link w:val="BalloonTextChar"/>
    <w:uiPriority w:val="99"/>
    <w:semiHidden/>
    <w:unhideWhenUsed/>
    <w:rsid w:val="001A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B4"/>
    <w:rPr>
      <w:rFonts w:ascii="Tahoma" w:hAnsi="Tahoma" w:cs="Tahoma"/>
      <w:sz w:val="16"/>
      <w:szCs w:val="16"/>
    </w:rPr>
  </w:style>
  <w:style w:type="paragraph" w:styleId="NormalWeb">
    <w:name w:val="Normal (Web)"/>
    <w:basedOn w:val="Normal"/>
    <w:uiPriority w:val="99"/>
    <w:semiHidden/>
    <w:unhideWhenUsed/>
    <w:rsid w:val="00DA1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6ABC"/>
    <w:rPr>
      <w:rFonts w:ascii="Times New Roman" w:eastAsia="Times New Roman" w:hAnsi="Times New Roman" w:cs="Times New Roman"/>
      <w:b/>
      <w:bCs/>
      <w:sz w:val="36"/>
      <w:szCs w:val="36"/>
    </w:rPr>
  </w:style>
  <w:style w:type="character" w:customStyle="1" w:styleId="Datum1">
    <w:name w:val="Datum1"/>
    <w:basedOn w:val="DefaultParagraphFont"/>
    <w:rsid w:val="00116ABC"/>
  </w:style>
  <w:style w:type="paragraph" w:customStyle="1" w:styleId="Default">
    <w:name w:val="Default"/>
    <w:rsid w:val="002311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
    <w:name w:val="norm"/>
    <w:basedOn w:val="Normal"/>
    <w:rsid w:val="00B93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name">
    <w:name w:val="journalname"/>
    <w:basedOn w:val="DefaultParagraphFont"/>
    <w:rsid w:val="00B9390D"/>
  </w:style>
  <w:style w:type="paragraph" w:styleId="Header">
    <w:name w:val="header"/>
    <w:basedOn w:val="Normal"/>
    <w:link w:val="HeaderChar"/>
    <w:uiPriority w:val="99"/>
    <w:unhideWhenUsed/>
    <w:rsid w:val="00686357"/>
    <w:pPr>
      <w:tabs>
        <w:tab w:val="center" w:pos="4703"/>
        <w:tab w:val="right" w:pos="9406"/>
      </w:tabs>
      <w:spacing w:after="0" w:line="240" w:lineRule="auto"/>
    </w:pPr>
  </w:style>
  <w:style w:type="character" w:customStyle="1" w:styleId="HeaderChar">
    <w:name w:val="Header Char"/>
    <w:basedOn w:val="DefaultParagraphFont"/>
    <w:link w:val="Header"/>
    <w:uiPriority w:val="99"/>
    <w:rsid w:val="00686357"/>
  </w:style>
  <w:style w:type="paragraph" w:styleId="Footer">
    <w:name w:val="footer"/>
    <w:basedOn w:val="Normal"/>
    <w:link w:val="FooterChar"/>
    <w:uiPriority w:val="99"/>
    <w:unhideWhenUsed/>
    <w:rsid w:val="00686357"/>
    <w:pPr>
      <w:tabs>
        <w:tab w:val="center" w:pos="4703"/>
        <w:tab w:val="right" w:pos="9406"/>
      </w:tabs>
      <w:spacing w:after="0" w:line="240" w:lineRule="auto"/>
    </w:pPr>
  </w:style>
  <w:style w:type="character" w:customStyle="1" w:styleId="FooterChar">
    <w:name w:val="Footer Char"/>
    <w:basedOn w:val="DefaultParagraphFont"/>
    <w:link w:val="Footer"/>
    <w:uiPriority w:val="99"/>
    <w:rsid w:val="00686357"/>
  </w:style>
  <w:style w:type="character" w:styleId="Hyperlink">
    <w:name w:val="Hyperlink"/>
    <w:basedOn w:val="DefaultParagraphFont"/>
    <w:uiPriority w:val="99"/>
    <w:unhideWhenUsed/>
    <w:rsid w:val="00176843"/>
    <w:rPr>
      <w:color w:val="0000FF" w:themeColor="hyperlink"/>
      <w:u w:val="single"/>
    </w:rPr>
  </w:style>
  <w:style w:type="character" w:styleId="Emphasis">
    <w:name w:val="Emphasis"/>
    <w:basedOn w:val="DefaultParagraphFont"/>
    <w:uiPriority w:val="20"/>
    <w:qFormat/>
    <w:rsid w:val="00176843"/>
    <w:rPr>
      <w:i/>
      <w:iCs/>
    </w:rPr>
  </w:style>
  <w:style w:type="character" w:styleId="FollowedHyperlink">
    <w:name w:val="FollowedHyperlink"/>
    <w:basedOn w:val="DefaultParagraphFont"/>
    <w:uiPriority w:val="99"/>
    <w:semiHidden/>
    <w:unhideWhenUsed/>
    <w:rsid w:val="002627F6"/>
    <w:rPr>
      <w:color w:val="800080" w:themeColor="followedHyperlink"/>
      <w:u w:val="single"/>
    </w:rPr>
  </w:style>
  <w:style w:type="paragraph" w:styleId="PlainText">
    <w:name w:val="Plain Text"/>
    <w:basedOn w:val="Normal"/>
    <w:link w:val="PlainTextChar"/>
    <w:uiPriority w:val="99"/>
    <w:semiHidden/>
    <w:unhideWhenUsed/>
    <w:rsid w:val="002210A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210A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6A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16"/>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3516"/>
  </w:style>
  <w:style w:type="paragraph" w:styleId="BalloonText">
    <w:name w:val="Balloon Text"/>
    <w:basedOn w:val="Normal"/>
    <w:link w:val="BalloonTextChar"/>
    <w:uiPriority w:val="99"/>
    <w:semiHidden/>
    <w:unhideWhenUsed/>
    <w:rsid w:val="001A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B4"/>
    <w:rPr>
      <w:rFonts w:ascii="Tahoma" w:hAnsi="Tahoma" w:cs="Tahoma"/>
      <w:sz w:val="16"/>
      <w:szCs w:val="16"/>
    </w:rPr>
  </w:style>
  <w:style w:type="paragraph" w:styleId="NormalWeb">
    <w:name w:val="Normal (Web)"/>
    <w:basedOn w:val="Normal"/>
    <w:uiPriority w:val="99"/>
    <w:semiHidden/>
    <w:unhideWhenUsed/>
    <w:rsid w:val="00DA1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6ABC"/>
    <w:rPr>
      <w:rFonts w:ascii="Times New Roman" w:eastAsia="Times New Roman" w:hAnsi="Times New Roman" w:cs="Times New Roman"/>
      <w:b/>
      <w:bCs/>
      <w:sz w:val="36"/>
      <w:szCs w:val="36"/>
    </w:rPr>
  </w:style>
  <w:style w:type="character" w:customStyle="1" w:styleId="Datum1">
    <w:name w:val="Datum1"/>
    <w:basedOn w:val="DefaultParagraphFont"/>
    <w:rsid w:val="00116ABC"/>
  </w:style>
  <w:style w:type="paragraph" w:customStyle="1" w:styleId="Default">
    <w:name w:val="Default"/>
    <w:rsid w:val="002311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
    <w:name w:val="norm"/>
    <w:basedOn w:val="Normal"/>
    <w:rsid w:val="00B93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name">
    <w:name w:val="journalname"/>
    <w:basedOn w:val="DefaultParagraphFont"/>
    <w:rsid w:val="00B9390D"/>
  </w:style>
  <w:style w:type="paragraph" w:styleId="Header">
    <w:name w:val="header"/>
    <w:basedOn w:val="Normal"/>
    <w:link w:val="HeaderChar"/>
    <w:uiPriority w:val="99"/>
    <w:unhideWhenUsed/>
    <w:rsid w:val="00686357"/>
    <w:pPr>
      <w:tabs>
        <w:tab w:val="center" w:pos="4703"/>
        <w:tab w:val="right" w:pos="9406"/>
      </w:tabs>
      <w:spacing w:after="0" w:line="240" w:lineRule="auto"/>
    </w:pPr>
  </w:style>
  <w:style w:type="character" w:customStyle="1" w:styleId="HeaderChar">
    <w:name w:val="Header Char"/>
    <w:basedOn w:val="DefaultParagraphFont"/>
    <w:link w:val="Header"/>
    <w:uiPriority w:val="99"/>
    <w:rsid w:val="00686357"/>
  </w:style>
  <w:style w:type="paragraph" w:styleId="Footer">
    <w:name w:val="footer"/>
    <w:basedOn w:val="Normal"/>
    <w:link w:val="FooterChar"/>
    <w:uiPriority w:val="99"/>
    <w:unhideWhenUsed/>
    <w:rsid w:val="00686357"/>
    <w:pPr>
      <w:tabs>
        <w:tab w:val="center" w:pos="4703"/>
        <w:tab w:val="right" w:pos="9406"/>
      </w:tabs>
      <w:spacing w:after="0" w:line="240" w:lineRule="auto"/>
    </w:pPr>
  </w:style>
  <w:style w:type="character" w:customStyle="1" w:styleId="FooterChar">
    <w:name w:val="Footer Char"/>
    <w:basedOn w:val="DefaultParagraphFont"/>
    <w:link w:val="Footer"/>
    <w:uiPriority w:val="99"/>
    <w:rsid w:val="00686357"/>
  </w:style>
  <w:style w:type="character" w:styleId="Hyperlink">
    <w:name w:val="Hyperlink"/>
    <w:basedOn w:val="DefaultParagraphFont"/>
    <w:uiPriority w:val="99"/>
    <w:unhideWhenUsed/>
    <w:rsid w:val="00176843"/>
    <w:rPr>
      <w:color w:val="0000FF" w:themeColor="hyperlink"/>
      <w:u w:val="single"/>
    </w:rPr>
  </w:style>
  <w:style w:type="character" w:styleId="Emphasis">
    <w:name w:val="Emphasis"/>
    <w:basedOn w:val="DefaultParagraphFont"/>
    <w:uiPriority w:val="20"/>
    <w:qFormat/>
    <w:rsid w:val="00176843"/>
    <w:rPr>
      <w:i/>
      <w:iCs/>
    </w:rPr>
  </w:style>
  <w:style w:type="character" w:styleId="FollowedHyperlink">
    <w:name w:val="FollowedHyperlink"/>
    <w:basedOn w:val="DefaultParagraphFont"/>
    <w:uiPriority w:val="99"/>
    <w:semiHidden/>
    <w:unhideWhenUsed/>
    <w:rsid w:val="002627F6"/>
    <w:rPr>
      <w:color w:val="800080" w:themeColor="followedHyperlink"/>
      <w:u w:val="single"/>
    </w:rPr>
  </w:style>
  <w:style w:type="paragraph" w:styleId="PlainText">
    <w:name w:val="Plain Text"/>
    <w:basedOn w:val="Normal"/>
    <w:link w:val="PlainTextChar"/>
    <w:uiPriority w:val="99"/>
    <w:semiHidden/>
    <w:unhideWhenUsed/>
    <w:rsid w:val="002210A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210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5164">
      <w:bodyDiv w:val="1"/>
      <w:marLeft w:val="0"/>
      <w:marRight w:val="0"/>
      <w:marTop w:val="0"/>
      <w:marBottom w:val="0"/>
      <w:divBdr>
        <w:top w:val="none" w:sz="0" w:space="0" w:color="auto"/>
        <w:left w:val="none" w:sz="0" w:space="0" w:color="auto"/>
        <w:bottom w:val="none" w:sz="0" w:space="0" w:color="auto"/>
        <w:right w:val="none" w:sz="0" w:space="0" w:color="auto"/>
      </w:divBdr>
    </w:div>
    <w:div w:id="155651995">
      <w:bodyDiv w:val="1"/>
      <w:marLeft w:val="0"/>
      <w:marRight w:val="0"/>
      <w:marTop w:val="0"/>
      <w:marBottom w:val="0"/>
      <w:divBdr>
        <w:top w:val="none" w:sz="0" w:space="0" w:color="auto"/>
        <w:left w:val="none" w:sz="0" w:space="0" w:color="auto"/>
        <w:bottom w:val="none" w:sz="0" w:space="0" w:color="auto"/>
        <w:right w:val="none" w:sz="0" w:space="0" w:color="auto"/>
      </w:divBdr>
      <w:divsChild>
        <w:div w:id="172956865">
          <w:marLeft w:val="0"/>
          <w:marRight w:val="0"/>
          <w:marTop w:val="0"/>
          <w:marBottom w:val="0"/>
          <w:divBdr>
            <w:top w:val="none" w:sz="0" w:space="0" w:color="auto"/>
            <w:left w:val="none" w:sz="0" w:space="0" w:color="auto"/>
            <w:bottom w:val="none" w:sz="0" w:space="0" w:color="auto"/>
            <w:right w:val="none" w:sz="0" w:space="0" w:color="auto"/>
          </w:divBdr>
        </w:div>
        <w:div w:id="949124439">
          <w:marLeft w:val="0"/>
          <w:marRight w:val="0"/>
          <w:marTop w:val="0"/>
          <w:marBottom w:val="0"/>
          <w:divBdr>
            <w:top w:val="none" w:sz="0" w:space="0" w:color="auto"/>
            <w:left w:val="none" w:sz="0" w:space="0" w:color="auto"/>
            <w:bottom w:val="none" w:sz="0" w:space="0" w:color="auto"/>
            <w:right w:val="none" w:sz="0" w:space="0" w:color="auto"/>
          </w:divBdr>
        </w:div>
        <w:div w:id="376780763">
          <w:marLeft w:val="0"/>
          <w:marRight w:val="0"/>
          <w:marTop w:val="0"/>
          <w:marBottom w:val="0"/>
          <w:divBdr>
            <w:top w:val="none" w:sz="0" w:space="0" w:color="auto"/>
            <w:left w:val="none" w:sz="0" w:space="0" w:color="auto"/>
            <w:bottom w:val="none" w:sz="0" w:space="0" w:color="auto"/>
            <w:right w:val="none" w:sz="0" w:space="0" w:color="auto"/>
          </w:divBdr>
        </w:div>
        <w:div w:id="1701128315">
          <w:marLeft w:val="0"/>
          <w:marRight w:val="0"/>
          <w:marTop w:val="0"/>
          <w:marBottom w:val="0"/>
          <w:divBdr>
            <w:top w:val="none" w:sz="0" w:space="0" w:color="auto"/>
            <w:left w:val="none" w:sz="0" w:space="0" w:color="auto"/>
            <w:bottom w:val="none" w:sz="0" w:space="0" w:color="auto"/>
            <w:right w:val="none" w:sz="0" w:space="0" w:color="auto"/>
          </w:divBdr>
        </w:div>
      </w:divsChild>
    </w:div>
    <w:div w:id="178929402">
      <w:bodyDiv w:val="1"/>
      <w:marLeft w:val="0"/>
      <w:marRight w:val="0"/>
      <w:marTop w:val="0"/>
      <w:marBottom w:val="0"/>
      <w:divBdr>
        <w:top w:val="none" w:sz="0" w:space="0" w:color="auto"/>
        <w:left w:val="none" w:sz="0" w:space="0" w:color="auto"/>
        <w:bottom w:val="none" w:sz="0" w:space="0" w:color="auto"/>
        <w:right w:val="none" w:sz="0" w:space="0" w:color="auto"/>
      </w:divBdr>
      <w:divsChild>
        <w:div w:id="395906251">
          <w:marLeft w:val="0"/>
          <w:marRight w:val="0"/>
          <w:marTop w:val="0"/>
          <w:marBottom w:val="0"/>
          <w:divBdr>
            <w:top w:val="none" w:sz="0" w:space="0" w:color="auto"/>
            <w:left w:val="none" w:sz="0" w:space="0" w:color="auto"/>
            <w:bottom w:val="none" w:sz="0" w:space="0" w:color="auto"/>
            <w:right w:val="none" w:sz="0" w:space="0" w:color="auto"/>
          </w:divBdr>
        </w:div>
        <w:div w:id="1617101377">
          <w:marLeft w:val="0"/>
          <w:marRight w:val="0"/>
          <w:marTop w:val="0"/>
          <w:marBottom w:val="0"/>
          <w:divBdr>
            <w:top w:val="none" w:sz="0" w:space="0" w:color="auto"/>
            <w:left w:val="none" w:sz="0" w:space="0" w:color="auto"/>
            <w:bottom w:val="none" w:sz="0" w:space="0" w:color="auto"/>
            <w:right w:val="none" w:sz="0" w:space="0" w:color="auto"/>
          </w:divBdr>
        </w:div>
        <w:div w:id="208036010">
          <w:marLeft w:val="0"/>
          <w:marRight w:val="0"/>
          <w:marTop w:val="0"/>
          <w:marBottom w:val="0"/>
          <w:divBdr>
            <w:top w:val="none" w:sz="0" w:space="0" w:color="auto"/>
            <w:left w:val="none" w:sz="0" w:space="0" w:color="auto"/>
            <w:bottom w:val="none" w:sz="0" w:space="0" w:color="auto"/>
            <w:right w:val="none" w:sz="0" w:space="0" w:color="auto"/>
          </w:divBdr>
        </w:div>
        <w:div w:id="1891768954">
          <w:marLeft w:val="0"/>
          <w:marRight w:val="0"/>
          <w:marTop w:val="0"/>
          <w:marBottom w:val="0"/>
          <w:divBdr>
            <w:top w:val="none" w:sz="0" w:space="0" w:color="auto"/>
            <w:left w:val="none" w:sz="0" w:space="0" w:color="auto"/>
            <w:bottom w:val="none" w:sz="0" w:space="0" w:color="auto"/>
            <w:right w:val="none" w:sz="0" w:space="0" w:color="auto"/>
          </w:divBdr>
        </w:div>
        <w:div w:id="1427964278">
          <w:marLeft w:val="0"/>
          <w:marRight w:val="0"/>
          <w:marTop w:val="0"/>
          <w:marBottom w:val="0"/>
          <w:divBdr>
            <w:top w:val="none" w:sz="0" w:space="0" w:color="auto"/>
            <w:left w:val="none" w:sz="0" w:space="0" w:color="auto"/>
            <w:bottom w:val="none" w:sz="0" w:space="0" w:color="auto"/>
            <w:right w:val="none" w:sz="0" w:space="0" w:color="auto"/>
          </w:divBdr>
        </w:div>
        <w:div w:id="176434322">
          <w:marLeft w:val="0"/>
          <w:marRight w:val="0"/>
          <w:marTop w:val="0"/>
          <w:marBottom w:val="0"/>
          <w:divBdr>
            <w:top w:val="none" w:sz="0" w:space="0" w:color="auto"/>
            <w:left w:val="none" w:sz="0" w:space="0" w:color="auto"/>
            <w:bottom w:val="none" w:sz="0" w:space="0" w:color="auto"/>
            <w:right w:val="none" w:sz="0" w:space="0" w:color="auto"/>
          </w:divBdr>
        </w:div>
        <w:div w:id="2043507376">
          <w:marLeft w:val="0"/>
          <w:marRight w:val="0"/>
          <w:marTop w:val="0"/>
          <w:marBottom w:val="0"/>
          <w:divBdr>
            <w:top w:val="none" w:sz="0" w:space="0" w:color="auto"/>
            <w:left w:val="none" w:sz="0" w:space="0" w:color="auto"/>
            <w:bottom w:val="none" w:sz="0" w:space="0" w:color="auto"/>
            <w:right w:val="none" w:sz="0" w:space="0" w:color="auto"/>
          </w:divBdr>
        </w:div>
        <w:div w:id="1882402553">
          <w:marLeft w:val="0"/>
          <w:marRight w:val="0"/>
          <w:marTop w:val="0"/>
          <w:marBottom w:val="0"/>
          <w:divBdr>
            <w:top w:val="none" w:sz="0" w:space="0" w:color="auto"/>
            <w:left w:val="none" w:sz="0" w:space="0" w:color="auto"/>
            <w:bottom w:val="none" w:sz="0" w:space="0" w:color="auto"/>
            <w:right w:val="none" w:sz="0" w:space="0" w:color="auto"/>
          </w:divBdr>
        </w:div>
      </w:divsChild>
    </w:div>
    <w:div w:id="230820463">
      <w:bodyDiv w:val="1"/>
      <w:marLeft w:val="0"/>
      <w:marRight w:val="0"/>
      <w:marTop w:val="0"/>
      <w:marBottom w:val="0"/>
      <w:divBdr>
        <w:top w:val="none" w:sz="0" w:space="0" w:color="auto"/>
        <w:left w:val="none" w:sz="0" w:space="0" w:color="auto"/>
        <w:bottom w:val="none" w:sz="0" w:space="0" w:color="auto"/>
        <w:right w:val="none" w:sz="0" w:space="0" w:color="auto"/>
      </w:divBdr>
    </w:div>
    <w:div w:id="241066975">
      <w:bodyDiv w:val="1"/>
      <w:marLeft w:val="0"/>
      <w:marRight w:val="0"/>
      <w:marTop w:val="0"/>
      <w:marBottom w:val="0"/>
      <w:divBdr>
        <w:top w:val="none" w:sz="0" w:space="0" w:color="auto"/>
        <w:left w:val="none" w:sz="0" w:space="0" w:color="auto"/>
        <w:bottom w:val="none" w:sz="0" w:space="0" w:color="auto"/>
        <w:right w:val="none" w:sz="0" w:space="0" w:color="auto"/>
      </w:divBdr>
    </w:div>
    <w:div w:id="246034549">
      <w:bodyDiv w:val="1"/>
      <w:marLeft w:val="0"/>
      <w:marRight w:val="0"/>
      <w:marTop w:val="0"/>
      <w:marBottom w:val="0"/>
      <w:divBdr>
        <w:top w:val="none" w:sz="0" w:space="0" w:color="auto"/>
        <w:left w:val="none" w:sz="0" w:space="0" w:color="auto"/>
        <w:bottom w:val="none" w:sz="0" w:space="0" w:color="auto"/>
        <w:right w:val="none" w:sz="0" w:space="0" w:color="auto"/>
      </w:divBdr>
      <w:divsChild>
        <w:div w:id="1687177147">
          <w:marLeft w:val="0"/>
          <w:marRight w:val="0"/>
          <w:marTop w:val="0"/>
          <w:marBottom w:val="0"/>
          <w:divBdr>
            <w:top w:val="none" w:sz="0" w:space="0" w:color="auto"/>
            <w:left w:val="none" w:sz="0" w:space="0" w:color="auto"/>
            <w:bottom w:val="none" w:sz="0" w:space="0" w:color="auto"/>
            <w:right w:val="none" w:sz="0" w:space="0" w:color="auto"/>
          </w:divBdr>
        </w:div>
        <w:div w:id="23678279">
          <w:marLeft w:val="0"/>
          <w:marRight w:val="0"/>
          <w:marTop w:val="0"/>
          <w:marBottom w:val="0"/>
          <w:divBdr>
            <w:top w:val="none" w:sz="0" w:space="0" w:color="auto"/>
            <w:left w:val="none" w:sz="0" w:space="0" w:color="auto"/>
            <w:bottom w:val="none" w:sz="0" w:space="0" w:color="auto"/>
            <w:right w:val="none" w:sz="0" w:space="0" w:color="auto"/>
          </w:divBdr>
        </w:div>
        <w:div w:id="872578414">
          <w:marLeft w:val="0"/>
          <w:marRight w:val="0"/>
          <w:marTop w:val="0"/>
          <w:marBottom w:val="0"/>
          <w:divBdr>
            <w:top w:val="none" w:sz="0" w:space="0" w:color="auto"/>
            <w:left w:val="none" w:sz="0" w:space="0" w:color="auto"/>
            <w:bottom w:val="none" w:sz="0" w:space="0" w:color="auto"/>
            <w:right w:val="none" w:sz="0" w:space="0" w:color="auto"/>
          </w:divBdr>
        </w:div>
        <w:div w:id="387067961">
          <w:marLeft w:val="0"/>
          <w:marRight w:val="0"/>
          <w:marTop w:val="0"/>
          <w:marBottom w:val="0"/>
          <w:divBdr>
            <w:top w:val="none" w:sz="0" w:space="0" w:color="auto"/>
            <w:left w:val="none" w:sz="0" w:space="0" w:color="auto"/>
            <w:bottom w:val="none" w:sz="0" w:space="0" w:color="auto"/>
            <w:right w:val="none" w:sz="0" w:space="0" w:color="auto"/>
          </w:divBdr>
        </w:div>
        <w:div w:id="425612247">
          <w:marLeft w:val="0"/>
          <w:marRight w:val="0"/>
          <w:marTop w:val="0"/>
          <w:marBottom w:val="0"/>
          <w:divBdr>
            <w:top w:val="none" w:sz="0" w:space="0" w:color="auto"/>
            <w:left w:val="none" w:sz="0" w:space="0" w:color="auto"/>
            <w:bottom w:val="none" w:sz="0" w:space="0" w:color="auto"/>
            <w:right w:val="none" w:sz="0" w:space="0" w:color="auto"/>
          </w:divBdr>
        </w:div>
        <w:div w:id="97911808">
          <w:marLeft w:val="0"/>
          <w:marRight w:val="0"/>
          <w:marTop w:val="0"/>
          <w:marBottom w:val="0"/>
          <w:divBdr>
            <w:top w:val="none" w:sz="0" w:space="0" w:color="auto"/>
            <w:left w:val="none" w:sz="0" w:space="0" w:color="auto"/>
            <w:bottom w:val="none" w:sz="0" w:space="0" w:color="auto"/>
            <w:right w:val="none" w:sz="0" w:space="0" w:color="auto"/>
          </w:divBdr>
        </w:div>
        <w:div w:id="2066954096">
          <w:marLeft w:val="0"/>
          <w:marRight w:val="0"/>
          <w:marTop w:val="0"/>
          <w:marBottom w:val="0"/>
          <w:divBdr>
            <w:top w:val="none" w:sz="0" w:space="0" w:color="auto"/>
            <w:left w:val="none" w:sz="0" w:space="0" w:color="auto"/>
            <w:bottom w:val="none" w:sz="0" w:space="0" w:color="auto"/>
            <w:right w:val="none" w:sz="0" w:space="0" w:color="auto"/>
          </w:divBdr>
        </w:div>
        <w:div w:id="1247109356">
          <w:marLeft w:val="0"/>
          <w:marRight w:val="0"/>
          <w:marTop w:val="0"/>
          <w:marBottom w:val="0"/>
          <w:divBdr>
            <w:top w:val="none" w:sz="0" w:space="0" w:color="auto"/>
            <w:left w:val="none" w:sz="0" w:space="0" w:color="auto"/>
            <w:bottom w:val="none" w:sz="0" w:space="0" w:color="auto"/>
            <w:right w:val="none" w:sz="0" w:space="0" w:color="auto"/>
          </w:divBdr>
        </w:div>
        <w:div w:id="1945187473">
          <w:marLeft w:val="0"/>
          <w:marRight w:val="0"/>
          <w:marTop w:val="0"/>
          <w:marBottom w:val="0"/>
          <w:divBdr>
            <w:top w:val="none" w:sz="0" w:space="0" w:color="auto"/>
            <w:left w:val="none" w:sz="0" w:space="0" w:color="auto"/>
            <w:bottom w:val="none" w:sz="0" w:space="0" w:color="auto"/>
            <w:right w:val="none" w:sz="0" w:space="0" w:color="auto"/>
          </w:divBdr>
        </w:div>
        <w:div w:id="1039553125">
          <w:marLeft w:val="0"/>
          <w:marRight w:val="0"/>
          <w:marTop w:val="0"/>
          <w:marBottom w:val="0"/>
          <w:divBdr>
            <w:top w:val="none" w:sz="0" w:space="0" w:color="auto"/>
            <w:left w:val="none" w:sz="0" w:space="0" w:color="auto"/>
            <w:bottom w:val="none" w:sz="0" w:space="0" w:color="auto"/>
            <w:right w:val="none" w:sz="0" w:space="0" w:color="auto"/>
          </w:divBdr>
        </w:div>
      </w:divsChild>
    </w:div>
    <w:div w:id="267930617">
      <w:bodyDiv w:val="1"/>
      <w:marLeft w:val="0"/>
      <w:marRight w:val="0"/>
      <w:marTop w:val="0"/>
      <w:marBottom w:val="0"/>
      <w:divBdr>
        <w:top w:val="none" w:sz="0" w:space="0" w:color="auto"/>
        <w:left w:val="none" w:sz="0" w:space="0" w:color="auto"/>
        <w:bottom w:val="none" w:sz="0" w:space="0" w:color="auto"/>
        <w:right w:val="none" w:sz="0" w:space="0" w:color="auto"/>
      </w:divBdr>
    </w:div>
    <w:div w:id="277638195">
      <w:bodyDiv w:val="1"/>
      <w:marLeft w:val="0"/>
      <w:marRight w:val="0"/>
      <w:marTop w:val="0"/>
      <w:marBottom w:val="0"/>
      <w:divBdr>
        <w:top w:val="none" w:sz="0" w:space="0" w:color="auto"/>
        <w:left w:val="none" w:sz="0" w:space="0" w:color="auto"/>
        <w:bottom w:val="none" w:sz="0" w:space="0" w:color="auto"/>
        <w:right w:val="none" w:sz="0" w:space="0" w:color="auto"/>
      </w:divBdr>
    </w:div>
    <w:div w:id="340281838">
      <w:bodyDiv w:val="1"/>
      <w:marLeft w:val="0"/>
      <w:marRight w:val="0"/>
      <w:marTop w:val="0"/>
      <w:marBottom w:val="0"/>
      <w:divBdr>
        <w:top w:val="none" w:sz="0" w:space="0" w:color="auto"/>
        <w:left w:val="none" w:sz="0" w:space="0" w:color="auto"/>
        <w:bottom w:val="none" w:sz="0" w:space="0" w:color="auto"/>
        <w:right w:val="none" w:sz="0" w:space="0" w:color="auto"/>
      </w:divBdr>
    </w:div>
    <w:div w:id="372316669">
      <w:bodyDiv w:val="1"/>
      <w:marLeft w:val="0"/>
      <w:marRight w:val="0"/>
      <w:marTop w:val="0"/>
      <w:marBottom w:val="0"/>
      <w:divBdr>
        <w:top w:val="none" w:sz="0" w:space="0" w:color="auto"/>
        <w:left w:val="none" w:sz="0" w:space="0" w:color="auto"/>
        <w:bottom w:val="none" w:sz="0" w:space="0" w:color="auto"/>
        <w:right w:val="none" w:sz="0" w:space="0" w:color="auto"/>
      </w:divBdr>
    </w:div>
    <w:div w:id="493108720">
      <w:bodyDiv w:val="1"/>
      <w:marLeft w:val="0"/>
      <w:marRight w:val="0"/>
      <w:marTop w:val="0"/>
      <w:marBottom w:val="0"/>
      <w:divBdr>
        <w:top w:val="none" w:sz="0" w:space="0" w:color="auto"/>
        <w:left w:val="none" w:sz="0" w:space="0" w:color="auto"/>
        <w:bottom w:val="none" w:sz="0" w:space="0" w:color="auto"/>
        <w:right w:val="none" w:sz="0" w:space="0" w:color="auto"/>
      </w:divBdr>
    </w:div>
    <w:div w:id="605583584">
      <w:bodyDiv w:val="1"/>
      <w:marLeft w:val="0"/>
      <w:marRight w:val="0"/>
      <w:marTop w:val="0"/>
      <w:marBottom w:val="0"/>
      <w:divBdr>
        <w:top w:val="none" w:sz="0" w:space="0" w:color="auto"/>
        <w:left w:val="none" w:sz="0" w:space="0" w:color="auto"/>
        <w:bottom w:val="none" w:sz="0" w:space="0" w:color="auto"/>
        <w:right w:val="none" w:sz="0" w:space="0" w:color="auto"/>
      </w:divBdr>
    </w:div>
    <w:div w:id="632558175">
      <w:bodyDiv w:val="1"/>
      <w:marLeft w:val="0"/>
      <w:marRight w:val="0"/>
      <w:marTop w:val="0"/>
      <w:marBottom w:val="0"/>
      <w:divBdr>
        <w:top w:val="none" w:sz="0" w:space="0" w:color="auto"/>
        <w:left w:val="none" w:sz="0" w:space="0" w:color="auto"/>
        <w:bottom w:val="none" w:sz="0" w:space="0" w:color="auto"/>
        <w:right w:val="none" w:sz="0" w:space="0" w:color="auto"/>
      </w:divBdr>
    </w:div>
    <w:div w:id="658920423">
      <w:bodyDiv w:val="1"/>
      <w:marLeft w:val="0"/>
      <w:marRight w:val="0"/>
      <w:marTop w:val="0"/>
      <w:marBottom w:val="0"/>
      <w:divBdr>
        <w:top w:val="none" w:sz="0" w:space="0" w:color="auto"/>
        <w:left w:val="none" w:sz="0" w:space="0" w:color="auto"/>
        <w:bottom w:val="none" w:sz="0" w:space="0" w:color="auto"/>
        <w:right w:val="none" w:sz="0" w:space="0" w:color="auto"/>
      </w:divBdr>
    </w:div>
    <w:div w:id="698042963">
      <w:bodyDiv w:val="1"/>
      <w:marLeft w:val="0"/>
      <w:marRight w:val="0"/>
      <w:marTop w:val="0"/>
      <w:marBottom w:val="0"/>
      <w:divBdr>
        <w:top w:val="none" w:sz="0" w:space="0" w:color="auto"/>
        <w:left w:val="none" w:sz="0" w:space="0" w:color="auto"/>
        <w:bottom w:val="none" w:sz="0" w:space="0" w:color="auto"/>
        <w:right w:val="none" w:sz="0" w:space="0" w:color="auto"/>
      </w:divBdr>
    </w:div>
    <w:div w:id="707608439">
      <w:bodyDiv w:val="1"/>
      <w:marLeft w:val="0"/>
      <w:marRight w:val="0"/>
      <w:marTop w:val="0"/>
      <w:marBottom w:val="0"/>
      <w:divBdr>
        <w:top w:val="none" w:sz="0" w:space="0" w:color="auto"/>
        <w:left w:val="none" w:sz="0" w:space="0" w:color="auto"/>
        <w:bottom w:val="none" w:sz="0" w:space="0" w:color="auto"/>
        <w:right w:val="none" w:sz="0" w:space="0" w:color="auto"/>
      </w:divBdr>
      <w:divsChild>
        <w:div w:id="1892381021">
          <w:marLeft w:val="0"/>
          <w:marRight w:val="0"/>
          <w:marTop w:val="0"/>
          <w:marBottom w:val="0"/>
          <w:divBdr>
            <w:top w:val="none" w:sz="0" w:space="0" w:color="auto"/>
            <w:left w:val="none" w:sz="0" w:space="0" w:color="auto"/>
            <w:bottom w:val="none" w:sz="0" w:space="0" w:color="auto"/>
            <w:right w:val="none" w:sz="0" w:space="0" w:color="auto"/>
          </w:divBdr>
        </w:div>
      </w:divsChild>
    </w:div>
    <w:div w:id="808745538">
      <w:bodyDiv w:val="1"/>
      <w:marLeft w:val="0"/>
      <w:marRight w:val="0"/>
      <w:marTop w:val="0"/>
      <w:marBottom w:val="0"/>
      <w:divBdr>
        <w:top w:val="none" w:sz="0" w:space="0" w:color="auto"/>
        <w:left w:val="none" w:sz="0" w:space="0" w:color="auto"/>
        <w:bottom w:val="none" w:sz="0" w:space="0" w:color="auto"/>
        <w:right w:val="none" w:sz="0" w:space="0" w:color="auto"/>
      </w:divBdr>
      <w:divsChild>
        <w:div w:id="744954209">
          <w:marLeft w:val="0"/>
          <w:marRight w:val="0"/>
          <w:marTop w:val="0"/>
          <w:marBottom w:val="0"/>
          <w:divBdr>
            <w:top w:val="none" w:sz="0" w:space="0" w:color="auto"/>
            <w:left w:val="none" w:sz="0" w:space="0" w:color="auto"/>
            <w:bottom w:val="none" w:sz="0" w:space="0" w:color="auto"/>
            <w:right w:val="none" w:sz="0" w:space="0" w:color="auto"/>
          </w:divBdr>
        </w:div>
        <w:div w:id="732503564">
          <w:marLeft w:val="0"/>
          <w:marRight w:val="0"/>
          <w:marTop w:val="0"/>
          <w:marBottom w:val="0"/>
          <w:divBdr>
            <w:top w:val="none" w:sz="0" w:space="0" w:color="auto"/>
            <w:left w:val="none" w:sz="0" w:space="0" w:color="auto"/>
            <w:bottom w:val="none" w:sz="0" w:space="0" w:color="auto"/>
            <w:right w:val="none" w:sz="0" w:space="0" w:color="auto"/>
          </w:divBdr>
        </w:div>
      </w:divsChild>
    </w:div>
    <w:div w:id="820389945">
      <w:bodyDiv w:val="1"/>
      <w:marLeft w:val="0"/>
      <w:marRight w:val="0"/>
      <w:marTop w:val="0"/>
      <w:marBottom w:val="0"/>
      <w:divBdr>
        <w:top w:val="none" w:sz="0" w:space="0" w:color="auto"/>
        <w:left w:val="none" w:sz="0" w:space="0" w:color="auto"/>
        <w:bottom w:val="none" w:sz="0" w:space="0" w:color="auto"/>
        <w:right w:val="none" w:sz="0" w:space="0" w:color="auto"/>
      </w:divBdr>
    </w:div>
    <w:div w:id="833758875">
      <w:bodyDiv w:val="1"/>
      <w:marLeft w:val="0"/>
      <w:marRight w:val="0"/>
      <w:marTop w:val="0"/>
      <w:marBottom w:val="0"/>
      <w:divBdr>
        <w:top w:val="none" w:sz="0" w:space="0" w:color="auto"/>
        <w:left w:val="none" w:sz="0" w:space="0" w:color="auto"/>
        <w:bottom w:val="none" w:sz="0" w:space="0" w:color="auto"/>
        <w:right w:val="none" w:sz="0" w:space="0" w:color="auto"/>
      </w:divBdr>
    </w:div>
    <w:div w:id="860557832">
      <w:bodyDiv w:val="1"/>
      <w:marLeft w:val="0"/>
      <w:marRight w:val="0"/>
      <w:marTop w:val="0"/>
      <w:marBottom w:val="0"/>
      <w:divBdr>
        <w:top w:val="none" w:sz="0" w:space="0" w:color="auto"/>
        <w:left w:val="none" w:sz="0" w:space="0" w:color="auto"/>
        <w:bottom w:val="none" w:sz="0" w:space="0" w:color="auto"/>
        <w:right w:val="none" w:sz="0" w:space="0" w:color="auto"/>
      </w:divBdr>
    </w:div>
    <w:div w:id="889027718">
      <w:bodyDiv w:val="1"/>
      <w:marLeft w:val="0"/>
      <w:marRight w:val="0"/>
      <w:marTop w:val="0"/>
      <w:marBottom w:val="0"/>
      <w:divBdr>
        <w:top w:val="none" w:sz="0" w:space="0" w:color="auto"/>
        <w:left w:val="none" w:sz="0" w:space="0" w:color="auto"/>
        <w:bottom w:val="none" w:sz="0" w:space="0" w:color="auto"/>
        <w:right w:val="none" w:sz="0" w:space="0" w:color="auto"/>
      </w:divBdr>
    </w:div>
    <w:div w:id="892275300">
      <w:bodyDiv w:val="1"/>
      <w:marLeft w:val="0"/>
      <w:marRight w:val="0"/>
      <w:marTop w:val="0"/>
      <w:marBottom w:val="0"/>
      <w:divBdr>
        <w:top w:val="none" w:sz="0" w:space="0" w:color="auto"/>
        <w:left w:val="none" w:sz="0" w:space="0" w:color="auto"/>
        <w:bottom w:val="none" w:sz="0" w:space="0" w:color="auto"/>
        <w:right w:val="none" w:sz="0" w:space="0" w:color="auto"/>
      </w:divBdr>
    </w:div>
    <w:div w:id="951086777">
      <w:bodyDiv w:val="1"/>
      <w:marLeft w:val="0"/>
      <w:marRight w:val="0"/>
      <w:marTop w:val="0"/>
      <w:marBottom w:val="0"/>
      <w:divBdr>
        <w:top w:val="none" w:sz="0" w:space="0" w:color="auto"/>
        <w:left w:val="none" w:sz="0" w:space="0" w:color="auto"/>
        <w:bottom w:val="none" w:sz="0" w:space="0" w:color="auto"/>
        <w:right w:val="none" w:sz="0" w:space="0" w:color="auto"/>
      </w:divBdr>
    </w:div>
    <w:div w:id="951209772">
      <w:bodyDiv w:val="1"/>
      <w:marLeft w:val="0"/>
      <w:marRight w:val="0"/>
      <w:marTop w:val="0"/>
      <w:marBottom w:val="0"/>
      <w:divBdr>
        <w:top w:val="none" w:sz="0" w:space="0" w:color="auto"/>
        <w:left w:val="none" w:sz="0" w:space="0" w:color="auto"/>
        <w:bottom w:val="none" w:sz="0" w:space="0" w:color="auto"/>
        <w:right w:val="none" w:sz="0" w:space="0" w:color="auto"/>
      </w:divBdr>
    </w:div>
    <w:div w:id="958608898">
      <w:bodyDiv w:val="1"/>
      <w:marLeft w:val="0"/>
      <w:marRight w:val="0"/>
      <w:marTop w:val="0"/>
      <w:marBottom w:val="0"/>
      <w:divBdr>
        <w:top w:val="none" w:sz="0" w:space="0" w:color="auto"/>
        <w:left w:val="none" w:sz="0" w:space="0" w:color="auto"/>
        <w:bottom w:val="none" w:sz="0" w:space="0" w:color="auto"/>
        <w:right w:val="none" w:sz="0" w:space="0" w:color="auto"/>
      </w:divBdr>
    </w:div>
    <w:div w:id="984623418">
      <w:bodyDiv w:val="1"/>
      <w:marLeft w:val="0"/>
      <w:marRight w:val="0"/>
      <w:marTop w:val="0"/>
      <w:marBottom w:val="0"/>
      <w:divBdr>
        <w:top w:val="none" w:sz="0" w:space="0" w:color="auto"/>
        <w:left w:val="none" w:sz="0" w:space="0" w:color="auto"/>
        <w:bottom w:val="none" w:sz="0" w:space="0" w:color="auto"/>
        <w:right w:val="none" w:sz="0" w:space="0" w:color="auto"/>
      </w:divBdr>
      <w:divsChild>
        <w:div w:id="1214199233">
          <w:marLeft w:val="0"/>
          <w:marRight w:val="0"/>
          <w:marTop w:val="0"/>
          <w:marBottom w:val="0"/>
          <w:divBdr>
            <w:top w:val="none" w:sz="0" w:space="0" w:color="auto"/>
            <w:left w:val="none" w:sz="0" w:space="0" w:color="auto"/>
            <w:bottom w:val="none" w:sz="0" w:space="0" w:color="auto"/>
            <w:right w:val="none" w:sz="0" w:space="0" w:color="auto"/>
          </w:divBdr>
          <w:divsChild>
            <w:div w:id="1648977364">
              <w:marLeft w:val="0"/>
              <w:marRight w:val="0"/>
              <w:marTop w:val="0"/>
              <w:marBottom w:val="0"/>
              <w:divBdr>
                <w:top w:val="none" w:sz="0" w:space="0" w:color="auto"/>
                <w:left w:val="none" w:sz="0" w:space="0" w:color="auto"/>
                <w:bottom w:val="none" w:sz="0" w:space="0" w:color="auto"/>
                <w:right w:val="none" w:sz="0" w:space="0" w:color="auto"/>
              </w:divBdr>
            </w:div>
            <w:div w:id="6255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2666">
      <w:bodyDiv w:val="1"/>
      <w:marLeft w:val="0"/>
      <w:marRight w:val="0"/>
      <w:marTop w:val="0"/>
      <w:marBottom w:val="0"/>
      <w:divBdr>
        <w:top w:val="none" w:sz="0" w:space="0" w:color="auto"/>
        <w:left w:val="none" w:sz="0" w:space="0" w:color="auto"/>
        <w:bottom w:val="none" w:sz="0" w:space="0" w:color="auto"/>
        <w:right w:val="none" w:sz="0" w:space="0" w:color="auto"/>
      </w:divBdr>
      <w:divsChild>
        <w:div w:id="430899629">
          <w:marLeft w:val="0"/>
          <w:marRight w:val="0"/>
          <w:marTop w:val="0"/>
          <w:marBottom w:val="0"/>
          <w:divBdr>
            <w:top w:val="none" w:sz="0" w:space="0" w:color="auto"/>
            <w:left w:val="none" w:sz="0" w:space="0" w:color="auto"/>
            <w:bottom w:val="none" w:sz="0" w:space="0" w:color="auto"/>
            <w:right w:val="none" w:sz="0" w:space="0" w:color="auto"/>
          </w:divBdr>
        </w:div>
        <w:div w:id="1080978464">
          <w:marLeft w:val="0"/>
          <w:marRight w:val="0"/>
          <w:marTop w:val="0"/>
          <w:marBottom w:val="0"/>
          <w:divBdr>
            <w:top w:val="none" w:sz="0" w:space="0" w:color="auto"/>
            <w:left w:val="none" w:sz="0" w:space="0" w:color="auto"/>
            <w:bottom w:val="none" w:sz="0" w:space="0" w:color="auto"/>
            <w:right w:val="none" w:sz="0" w:space="0" w:color="auto"/>
          </w:divBdr>
        </w:div>
        <w:div w:id="858588431">
          <w:marLeft w:val="0"/>
          <w:marRight w:val="0"/>
          <w:marTop w:val="0"/>
          <w:marBottom w:val="0"/>
          <w:divBdr>
            <w:top w:val="none" w:sz="0" w:space="0" w:color="auto"/>
            <w:left w:val="none" w:sz="0" w:space="0" w:color="auto"/>
            <w:bottom w:val="none" w:sz="0" w:space="0" w:color="auto"/>
            <w:right w:val="none" w:sz="0" w:space="0" w:color="auto"/>
          </w:divBdr>
        </w:div>
        <w:div w:id="478572958">
          <w:marLeft w:val="0"/>
          <w:marRight w:val="0"/>
          <w:marTop w:val="0"/>
          <w:marBottom w:val="0"/>
          <w:divBdr>
            <w:top w:val="none" w:sz="0" w:space="0" w:color="auto"/>
            <w:left w:val="none" w:sz="0" w:space="0" w:color="auto"/>
            <w:bottom w:val="none" w:sz="0" w:space="0" w:color="auto"/>
            <w:right w:val="none" w:sz="0" w:space="0" w:color="auto"/>
          </w:divBdr>
        </w:div>
        <w:div w:id="1735471262">
          <w:marLeft w:val="0"/>
          <w:marRight w:val="0"/>
          <w:marTop w:val="0"/>
          <w:marBottom w:val="0"/>
          <w:divBdr>
            <w:top w:val="none" w:sz="0" w:space="0" w:color="auto"/>
            <w:left w:val="none" w:sz="0" w:space="0" w:color="auto"/>
            <w:bottom w:val="none" w:sz="0" w:space="0" w:color="auto"/>
            <w:right w:val="none" w:sz="0" w:space="0" w:color="auto"/>
          </w:divBdr>
        </w:div>
      </w:divsChild>
    </w:div>
    <w:div w:id="1043479849">
      <w:bodyDiv w:val="1"/>
      <w:marLeft w:val="0"/>
      <w:marRight w:val="0"/>
      <w:marTop w:val="0"/>
      <w:marBottom w:val="0"/>
      <w:divBdr>
        <w:top w:val="none" w:sz="0" w:space="0" w:color="auto"/>
        <w:left w:val="none" w:sz="0" w:space="0" w:color="auto"/>
        <w:bottom w:val="none" w:sz="0" w:space="0" w:color="auto"/>
        <w:right w:val="none" w:sz="0" w:space="0" w:color="auto"/>
      </w:divBdr>
    </w:div>
    <w:div w:id="1045718665">
      <w:bodyDiv w:val="1"/>
      <w:marLeft w:val="0"/>
      <w:marRight w:val="0"/>
      <w:marTop w:val="0"/>
      <w:marBottom w:val="0"/>
      <w:divBdr>
        <w:top w:val="none" w:sz="0" w:space="0" w:color="auto"/>
        <w:left w:val="none" w:sz="0" w:space="0" w:color="auto"/>
        <w:bottom w:val="none" w:sz="0" w:space="0" w:color="auto"/>
        <w:right w:val="none" w:sz="0" w:space="0" w:color="auto"/>
      </w:divBdr>
    </w:div>
    <w:div w:id="1045909673">
      <w:bodyDiv w:val="1"/>
      <w:marLeft w:val="0"/>
      <w:marRight w:val="0"/>
      <w:marTop w:val="0"/>
      <w:marBottom w:val="0"/>
      <w:divBdr>
        <w:top w:val="none" w:sz="0" w:space="0" w:color="auto"/>
        <w:left w:val="none" w:sz="0" w:space="0" w:color="auto"/>
        <w:bottom w:val="none" w:sz="0" w:space="0" w:color="auto"/>
        <w:right w:val="none" w:sz="0" w:space="0" w:color="auto"/>
      </w:divBdr>
    </w:div>
    <w:div w:id="1051924475">
      <w:bodyDiv w:val="1"/>
      <w:marLeft w:val="0"/>
      <w:marRight w:val="0"/>
      <w:marTop w:val="0"/>
      <w:marBottom w:val="0"/>
      <w:divBdr>
        <w:top w:val="none" w:sz="0" w:space="0" w:color="auto"/>
        <w:left w:val="none" w:sz="0" w:space="0" w:color="auto"/>
        <w:bottom w:val="none" w:sz="0" w:space="0" w:color="auto"/>
        <w:right w:val="none" w:sz="0" w:space="0" w:color="auto"/>
      </w:divBdr>
    </w:div>
    <w:div w:id="1058439135">
      <w:bodyDiv w:val="1"/>
      <w:marLeft w:val="0"/>
      <w:marRight w:val="0"/>
      <w:marTop w:val="0"/>
      <w:marBottom w:val="0"/>
      <w:divBdr>
        <w:top w:val="none" w:sz="0" w:space="0" w:color="auto"/>
        <w:left w:val="none" w:sz="0" w:space="0" w:color="auto"/>
        <w:bottom w:val="none" w:sz="0" w:space="0" w:color="auto"/>
        <w:right w:val="none" w:sz="0" w:space="0" w:color="auto"/>
      </w:divBdr>
    </w:div>
    <w:div w:id="1161625801">
      <w:bodyDiv w:val="1"/>
      <w:marLeft w:val="0"/>
      <w:marRight w:val="0"/>
      <w:marTop w:val="0"/>
      <w:marBottom w:val="0"/>
      <w:divBdr>
        <w:top w:val="none" w:sz="0" w:space="0" w:color="auto"/>
        <w:left w:val="none" w:sz="0" w:space="0" w:color="auto"/>
        <w:bottom w:val="none" w:sz="0" w:space="0" w:color="auto"/>
        <w:right w:val="none" w:sz="0" w:space="0" w:color="auto"/>
      </w:divBdr>
    </w:div>
    <w:div w:id="1213464724">
      <w:bodyDiv w:val="1"/>
      <w:marLeft w:val="0"/>
      <w:marRight w:val="0"/>
      <w:marTop w:val="0"/>
      <w:marBottom w:val="0"/>
      <w:divBdr>
        <w:top w:val="none" w:sz="0" w:space="0" w:color="auto"/>
        <w:left w:val="none" w:sz="0" w:space="0" w:color="auto"/>
        <w:bottom w:val="none" w:sz="0" w:space="0" w:color="auto"/>
        <w:right w:val="none" w:sz="0" w:space="0" w:color="auto"/>
      </w:divBdr>
    </w:div>
    <w:div w:id="1230264072">
      <w:bodyDiv w:val="1"/>
      <w:marLeft w:val="0"/>
      <w:marRight w:val="0"/>
      <w:marTop w:val="0"/>
      <w:marBottom w:val="0"/>
      <w:divBdr>
        <w:top w:val="none" w:sz="0" w:space="0" w:color="auto"/>
        <w:left w:val="none" w:sz="0" w:space="0" w:color="auto"/>
        <w:bottom w:val="none" w:sz="0" w:space="0" w:color="auto"/>
        <w:right w:val="none" w:sz="0" w:space="0" w:color="auto"/>
      </w:divBdr>
    </w:div>
    <w:div w:id="1243298498">
      <w:bodyDiv w:val="1"/>
      <w:marLeft w:val="0"/>
      <w:marRight w:val="0"/>
      <w:marTop w:val="0"/>
      <w:marBottom w:val="0"/>
      <w:divBdr>
        <w:top w:val="none" w:sz="0" w:space="0" w:color="auto"/>
        <w:left w:val="none" w:sz="0" w:space="0" w:color="auto"/>
        <w:bottom w:val="none" w:sz="0" w:space="0" w:color="auto"/>
        <w:right w:val="none" w:sz="0" w:space="0" w:color="auto"/>
      </w:divBdr>
    </w:div>
    <w:div w:id="1295791498">
      <w:bodyDiv w:val="1"/>
      <w:marLeft w:val="0"/>
      <w:marRight w:val="0"/>
      <w:marTop w:val="0"/>
      <w:marBottom w:val="0"/>
      <w:divBdr>
        <w:top w:val="none" w:sz="0" w:space="0" w:color="auto"/>
        <w:left w:val="none" w:sz="0" w:space="0" w:color="auto"/>
        <w:bottom w:val="none" w:sz="0" w:space="0" w:color="auto"/>
        <w:right w:val="none" w:sz="0" w:space="0" w:color="auto"/>
      </w:divBdr>
    </w:div>
    <w:div w:id="1314799527">
      <w:bodyDiv w:val="1"/>
      <w:marLeft w:val="0"/>
      <w:marRight w:val="0"/>
      <w:marTop w:val="0"/>
      <w:marBottom w:val="0"/>
      <w:divBdr>
        <w:top w:val="none" w:sz="0" w:space="0" w:color="auto"/>
        <w:left w:val="none" w:sz="0" w:space="0" w:color="auto"/>
        <w:bottom w:val="none" w:sz="0" w:space="0" w:color="auto"/>
        <w:right w:val="none" w:sz="0" w:space="0" w:color="auto"/>
      </w:divBdr>
    </w:div>
    <w:div w:id="1450472752">
      <w:bodyDiv w:val="1"/>
      <w:marLeft w:val="0"/>
      <w:marRight w:val="0"/>
      <w:marTop w:val="0"/>
      <w:marBottom w:val="0"/>
      <w:divBdr>
        <w:top w:val="none" w:sz="0" w:space="0" w:color="auto"/>
        <w:left w:val="none" w:sz="0" w:space="0" w:color="auto"/>
        <w:bottom w:val="none" w:sz="0" w:space="0" w:color="auto"/>
        <w:right w:val="none" w:sz="0" w:space="0" w:color="auto"/>
      </w:divBdr>
      <w:divsChild>
        <w:div w:id="1254127353">
          <w:marLeft w:val="446"/>
          <w:marRight w:val="0"/>
          <w:marTop w:val="0"/>
          <w:marBottom w:val="0"/>
          <w:divBdr>
            <w:top w:val="none" w:sz="0" w:space="0" w:color="auto"/>
            <w:left w:val="none" w:sz="0" w:space="0" w:color="auto"/>
            <w:bottom w:val="none" w:sz="0" w:space="0" w:color="auto"/>
            <w:right w:val="none" w:sz="0" w:space="0" w:color="auto"/>
          </w:divBdr>
        </w:div>
      </w:divsChild>
    </w:div>
    <w:div w:id="1455052653">
      <w:bodyDiv w:val="1"/>
      <w:marLeft w:val="0"/>
      <w:marRight w:val="0"/>
      <w:marTop w:val="0"/>
      <w:marBottom w:val="0"/>
      <w:divBdr>
        <w:top w:val="none" w:sz="0" w:space="0" w:color="auto"/>
        <w:left w:val="none" w:sz="0" w:space="0" w:color="auto"/>
        <w:bottom w:val="none" w:sz="0" w:space="0" w:color="auto"/>
        <w:right w:val="none" w:sz="0" w:space="0" w:color="auto"/>
      </w:divBdr>
    </w:div>
    <w:div w:id="1508785608">
      <w:bodyDiv w:val="1"/>
      <w:marLeft w:val="0"/>
      <w:marRight w:val="0"/>
      <w:marTop w:val="0"/>
      <w:marBottom w:val="0"/>
      <w:divBdr>
        <w:top w:val="none" w:sz="0" w:space="0" w:color="auto"/>
        <w:left w:val="none" w:sz="0" w:space="0" w:color="auto"/>
        <w:bottom w:val="none" w:sz="0" w:space="0" w:color="auto"/>
        <w:right w:val="none" w:sz="0" w:space="0" w:color="auto"/>
      </w:divBdr>
      <w:divsChild>
        <w:div w:id="1851067652">
          <w:marLeft w:val="0"/>
          <w:marRight w:val="0"/>
          <w:marTop w:val="0"/>
          <w:marBottom w:val="0"/>
          <w:divBdr>
            <w:top w:val="none" w:sz="0" w:space="0" w:color="auto"/>
            <w:left w:val="none" w:sz="0" w:space="0" w:color="auto"/>
            <w:bottom w:val="none" w:sz="0" w:space="0" w:color="auto"/>
            <w:right w:val="none" w:sz="0" w:space="0" w:color="auto"/>
          </w:divBdr>
        </w:div>
      </w:divsChild>
    </w:div>
    <w:div w:id="1522351132">
      <w:bodyDiv w:val="1"/>
      <w:marLeft w:val="0"/>
      <w:marRight w:val="0"/>
      <w:marTop w:val="0"/>
      <w:marBottom w:val="0"/>
      <w:divBdr>
        <w:top w:val="none" w:sz="0" w:space="0" w:color="auto"/>
        <w:left w:val="none" w:sz="0" w:space="0" w:color="auto"/>
        <w:bottom w:val="none" w:sz="0" w:space="0" w:color="auto"/>
        <w:right w:val="none" w:sz="0" w:space="0" w:color="auto"/>
      </w:divBdr>
    </w:div>
    <w:div w:id="1566837427">
      <w:bodyDiv w:val="1"/>
      <w:marLeft w:val="0"/>
      <w:marRight w:val="0"/>
      <w:marTop w:val="0"/>
      <w:marBottom w:val="0"/>
      <w:divBdr>
        <w:top w:val="none" w:sz="0" w:space="0" w:color="auto"/>
        <w:left w:val="none" w:sz="0" w:space="0" w:color="auto"/>
        <w:bottom w:val="none" w:sz="0" w:space="0" w:color="auto"/>
        <w:right w:val="none" w:sz="0" w:space="0" w:color="auto"/>
      </w:divBdr>
    </w:div>
    <w:div w:id="1583248926">
      <w:bodyDiv w:val="1"/>
      <w:marLeft w:val="0"/>
      <w:marRight w:val="0"/>
      <w:marTop w:val="0"/>
      <w:marBottom w:val="0"/>
      <w:divBdr>
        <w:top w:val="none" w:sz="0" w:space="0" w:color="auto"/>
        <w:left w:val="none" w:sz="0" w:space="0" w:color="auto"/>
        <w:bottom w:val="none" w:sz="0" w:space="0" w:color="auto"/>
        <w:right w:val="none" w:sz="0" w:space="0" w:color="auto"/>
      </w:divBdr>
    </w:div>
    <w:div w:id="1730424516">
      <w:bodyDiv w:val="1"/>
      <w:marLeft w:val="0"/>
      <w:marRight w:val="0"/>
      <w:marTop w:val="0"/>
      <w:marBottom w:val="0"/>
      <w:divBdr>
        <w:top w:val="none" w:sz="0" w:space="0" w:color="auto"/>
        <w:left w:val="none" w:sz="0" w:space="0" w:color="auto"/>
        <w:bottom w:val="none" w:sz="0" w:space="0" w:color="auto"/>
        <w:right w:val="none" w:sz="0" w:space="0" w:color="auto"/>
      </w:divBdr>
    </w:div>
    <w:div w:id="1745838070">
      <w:bodyDiv w:val="1"/>
      <w:marLeft w:val="0"/>
      <w:marRight w:val="0"/>
      <w:marTop w:val="0"/>
      <w:marBottom w:val="0"/>
      <w:divBdr>
        <w:top w:val="none" w:sz="0" w:space="0" w:color="auto"/>
        <w:left w:val="none" w:sz="0" w:space="0" w:color="auto"/>
        <w:bottom w:val="none" w:sz="0" w:space="0" w:color="auto"/>
        <w:right w:val="none" w:sz="0" w:space="0" w:color="auto"/>
      </w:divBdr>
    </w:div>
    <w:div w:id="1771513559">
      <w:bodyDiv w:val="1"/>
      <w:marLeft w:val="0"/>
      <w:marRight w:val="0"/>
      <w:marTop w:val="0"/>
      <w:marBottom w:val="0"/>
      <w:divBdr>
        <w:top w:val="none" w:sz="0" w:space="0" w:color="auto"/>
        <w:left w:val="none" w:sz="0" w:space="0" w:color="auto"/>
        <w:bottom w:val="none" w:sz="0" w:space="0" w:color="auto"/>
        <w:right w:val="none" w:sz="0" w:space="0" w:color="auto"/>
      </w:divBdr>
    </w:div>
    <w:div w:id="1773820661">
      <w:bodyDiv w:val="1"/>
      <w:marLeft w:val="0"/>
      <w:marRight w:val="0"/>
      <w:marTop w:val="0"/>
      <w:marBottom w:val="0"/>
      <w:divBdr>
        <w:top w:val="none" w:sz="0" w:space="0" w:color="auto"/>
        <w:left w:val="none" w:sz="0" w:space="0" w:color="auto"/>
        <w:bottom w:val="none" w:sz="0" w:space="0" w:color="auto"/>
        <w:right w:val="none" w:sz="0" w:space="0" w:color="auto"/>
      </w:divBdr>
    </w:div>
    <w:div w:id="1786080156">
      <w:bodyDiv w:val="1"/>
      <w:marLeft w:val="0"/>
      <w:marRight w:val="0"/>
      <w:marTop w:val="0"/>
      <w:marBottom w:val="0"/>
      <w:divBdr>
        <w:top w:val="none" w:sz="0" w:space="0" w:color="auto"/>
        <w:left w:val="none" w:sz="0" w:space="0" w:color="auto"/>
        <w:bottom w:val="none" w:sz="0" w:space="0" w:color="auto"/>
        <w:right w:val="none" w:sz="0" w:space="0" w:color="auto"/>
      </w:divBdr>
    </w:div>
    <w:div w:id="1816793975">
      <w:bodyDiv w:val="1"/>
      <w:marLeft w:val="0"/>
      <w:marRight w:val="0"/>
      <w:marTop w:val="0"/>
      <w:marBottom w:val="0"/>
      <w:divBdr>
        <w:top w:val="none" w:sz="0" w:space="0" w:color="auto"/>
        <w:left w:val="none" w:sz="0" w:space="0" w:color="auto"/>
        <w:bottom w:val="none" w:sz="0" w:space="0" w:color="auto"/>
        <w:right w:val="none" w:sz="0" w:space="0" w:color="auto"/>
      </w:divBdr>
    </w:div>
    <w:div w:id="1899590233">
      <w:bodyDiv w:val="1"/>
      <w:marLeft w:val="0"/>
      <w:marRight w:val="0"/>
      <w:marTop w:val="0"/>
      <w:marBottom w:val="0"/>
      <w:divBdr>
        <w:top w:val="none" w:sz="0" w:space="0" w:color="auto"/>
        <w:left w:val="none" w:sz="0" w:space="0" w:color="auto"/>
        <w:bottom w:val="none" w:sz="0" w:space="0" w:color="auto"/>
        <w:right w:val="none" w:sz="0" w:space="0" w:color="auto"/>
      </w:divBdr>
    </w:div>
    <w:div w:id="1930044475">
      <w:bodyDiv w:val="1"/>
      <w:marLeft w:val="0"/>
      <w:marRight w:val="0"/>
      <w:marTop w:val="0"/>
      <w:marBottom w:val="0"/>
      <w:divBdr>
        <w:top w:val="none" w:sz="0" w:space="0" w:color="auto"/>
        <w:left w:val="none" w:sz="0" w:space="0" w:color="auto"/>
        <w:bottom w:val="none" w:sz="0" w:space="0" w:color="auto"/>
        <w:right w:val="none" w:sz="0" w:space="0" w:color="auto"/>
      </w:divBdr>
    </w:div>
    <w:div w:id="1930625425">
      <w:bodyDiv w:val="1"/>
      <w:marLeft w:val="0"/>
      <w:marRight w:val="0"/>
      <w:marTop w:val="0"/>
      <w:marBottom w:val="0"/>
      <w:divBdr>
        <w:top w:val="none" w:sz="0" w:space="0" w:color="auto"/>
        <w:left w:val="none" w:sz="0" w:space="0" w:color="auto"/>
        <w:bottom w:val="none" w:sz="0" w:space="0" w:color="auto"/>
        <w:right w:val="none" w:sz="0" w:space="0" w:color="auto"/>
      </w:divBdr>
      <w:divsChild>
        <w:div w:id="1050497675">
          <w:marLeft w:val="0"/>
          <w:marRight w:val="0"/>
          <w:marTop w:val="0"/>
          <w:marBottom w:val="0"/>
          <w:divBdr>
            <w:top w:val="none" w:sz="0" w:space="0" w:color="auto"/>
            <w:left w:val="none" w:sz="0" w:space="0" w:color="auto"/>
            <w:bottom w:val="none" w:sz="0" w:space="0" w:color="auto"/>
            <w:right w:val="none" w:sz="0" w:space="0" w:color="auto"/>
          </w:divBdr>
        </w:div>
        <w:div w:id="1044254562">
          <w:marLeft w:val="0"/>
          <w:marRight w:val="0"/>
          <w:marTop w:val="0"/>
          <w:marBottom w:val="0"/>
          <w:divBdr>
            <w:top w:val="none" w:sz="0" w:space="0" w:color="auto"/>
            <w:left w:val="none" w:sz="0" w:space="0" w:color="auto"/>
            <w:bottom w:val="none" w:sz="0" w:space="0" w:color="auto"/>
            <w:right w:val="none" w:sz="0" w:space="0" w:color="auto"/>
          </w:divBdr>
        </w:div>
        <w:div w:id="941301018">
          <w:marLeft w:val="0"/>
          <w:marRight w:val="0"/>
          <w:marTop w:val="0"/>
          <w:marBottom w:val="0"/>
          <w:divBdr>
            <w:top w:val="none" w:sz="0" w:space="0" w:color="auto"/>
            <w:left w:val="none" w:sz="0" w:space="0" w:color="auto"/>
            <w:bottom w:val="none" w:sz="0" w:space="0" w:color="auto"/>
            <w:right w:val="none" w:sz="0" w:space="0" w:color="auto"/>
          </w:divBdr>
        </w:div>
      </w:divsChild>
    </w:div>
    <w:div w:id="2104064150">
      <w:bodyDiv w:val="1"/>
      <w:marLeft w:val="0"/>
      <w:marRight w:val="0"/>
      <w:marTop w:val="0"/>
      <w:marBottom w:val="0"/>
      <w:divBdr>
        <w:top w:val="none" w:sz="0" w:space="0" w:color="auto"/>
        <w:left w:val="none" w:sz="0" w:space="0" w:color="auto"/>
        <w:bottom w:val="none" w:sz="0" w:space="0" w:color="auto"/>
        <w:right w:val="none" w:sz="0" w:space="0" w:color="auto"/>
      </w:divBdr>
    </w:div>
    <w:div w:id="2119834861">
      <w:bodyDiv w:val="1"/>
      <w:marLeft w:val="0"/>
      <w:marRight w:val="0"/>
      <w:marTop w:val="0"/>
      <w:marBottom w:val="0"/>
      <w:divBdr>
        <w:top w:val="none" w:sz="0" w:space="0" w:color="auto"/>
        <w:left w:val="none" w:sz="0" w:space="0" w:color="auto"/>
        <w:bottom w:val="none" w:sz="0" w:space="0" w:color="auto"/>
        <w:right w:val="none" w:sz="0" w:space="0" w:color="auto"/>
      </w:divBdr>
    </w:div>
    <w:div w:id="21325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cci.com/Sedocument/20255/europe-Survey-Report-201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icci.com/international/54525/Add_docs/India-Germany-Bilateral-Relations-21-12-12.pdf" TargetMode="External"/><Relationship Id="rId17" Type="http://schemas.openxmlformats.org/officeDocument/2006/relationships/hyperlink" Target="http://blogs.wsj.com/indiarealtime/2013/04/09/indian-it-firms-step-up-acquisitions-in-europe/" TargetMode="External"/><Relationship Id="rId2" Type="http://schemas.openxmlformats.org/officeDocument/2006/relationships/numbering" Target="numbering.xml"/><Relationship Id="rId16" Type="http://schemas.openxmlformats.org/officeDocument/2006/relationships/hyperlink" Target="http://rbidocs.rbi.org.in/rdocs/PressRelease/PDFs/IEPR1193OD011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pra.ub.uni-muenchen.de/32828/1/MPRA_paper_32828.pdf.%20Accessed%2017%20January%202014" TargetMode="External"/><Relationship Id="rId5" Type="http://schemas.openxmlformats.org/officeDocument/2006/relationships/settings" Target="settings.xml"/><Relationship Id="rId15" Type="http://schemas.openxmlformats.org/officeDocument/2006/relationships/hyperlink" Target="http://www.dw.de/indian-investment-in-africa-soars/a-16951164" TargetMode="Externa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cbs.dk/cbd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za48zuza\Desktop\Microsoft%20Excel-Arbeitsblatt%20(ne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a48zuza\Desktop\Microsoft%20Excel-Arbeitsblatt%20(ne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Tabelle2!$O$4</c:f>
              <c:strCache>
                <c:ptCount val="1"/>
              </c:strCache>
            </c:strRef>
          </c:tx>
          <c:marker>
            <c:symbol val="none"/>
          </c:marker>
          <c:cat>
            <c:numRef>
              <c:f>Tabelle2!$N$5:$N$19</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Tabelle2!$O$5:$O$19</c:f>
              <c:numCache>
                <c:formatCode>General</c:formatCode>
                <c:ptCount val="15"/>
                <c:pt idx="0">
                  <c:v>514</c:v>
                </c:pt>
                <c:pt idx="1">
                  <c:v>1397</c:v>
                </c:pt>
                <c:pt idx="2">
                  <c:v>1678</c:v>
                </c:pt>
                <c:pt idx="3">
                  <c:v>1876</c:v>
                </c:pt>
                <c:pt idx="4">
                  <c:v>2175</c:v>
                </c:pt>
                <c:pt idx="5">
                  <c:v>2985</c:v>
                </c:pt>
                <c:pt idx="6">
                  <c:v>14285</c:v>
                </c:pt>
                <c:pt idx="7">
                  <c:v>17234</c:v>
                </c:pt>
                <c:pt idx="8">
                  <c:v>21147</c:v>
                </c:pt>
                <c:pt idx="9">
                  <c:v>16031</c:v>
                </c:pt>
                <c:pt idx="10">
                  <c:v>15933</c:v>
                </c:pt>
                <c:pt idx="11">
                  <c:v>12456</c:v>
                </c:pt>
                <c:pt idx="12">
                  <c:v>8583</c:v>
                </c:pt>
                <c:pt idx="13">
                  <c:v>7100</c:v>
                </c:pt>
              </c:numCache>
            </c:numRef>
          </c:val>
          <c:smooth val="0"/>
        </c:ser>
        <c:dLbls>
          <c:showLegendKey val="0"/>
          <c:showVal val="0"/>
          <c:showCatName val="0"/>
          <c:showSerName val="0"/>
          <c:showPercent val="0"/>
          <c:showBubbleSize val="0"/>
        </c:dLbls>
        <c:marker val="1"/>
        <c:smooth val="0"/>
        <c:axId val="166463744"/>
        <c:axId val="167362560"/>
      </c:lineChart>
      <c:catAx>
        <c:axId val="166463744"/>
        <c:scaling>
          <c:orientation val="minMax"/>
        </c:scaling>
        <c:delete val="0"/>
        <c:axPos val="b"/>
        <c:numFmt formatCode="General" sourceLinked="1"/>
        <c:majorTickMark val="out"/>
        <c:minorTickMark val="none"/>
        <c:tickLblPos val="nextTo"/>
        <c:crossAx val="167362560"/>
        <c:crosses val="autoZero"/>
        <c:auto val="1"/>
        <c:lblAlgn val="ctr"/>
        <c:lblOffset val="100"/>
        <c:noMultiLvlLbl val="0"/>
      </c:catAx>
      <c:valAx>
        <c:axId val="167362560"/>
        <c:scaling>
          <c:orientation val="minMax"/>
        </c:scaling>
        <c:delete val="0"/>
        <c:axPos val="l"/>
        <c:majorGridlines/>
        <c:numFmt formatCode="General" sourceLinked="1"/>
        <c:majorTickMark val="out"/>
        <c:minorTickMark val="none"/>
        <c:tickLblPos val="nextTo"/>
        <c:crossAx val="1664637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Tabelle2!$B$3</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Tabelle2!$A$4:$A$15</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Tabelle2!$B$4:$B$15</c:f>
              <c:numCache>
                <c:formatCode>General</c:formatCode>
                <c:ptCount val="12"/>
              </c:numCache>
            </c:numRef>
          </c:val>
        </c:ser>
        <c:ser>
          <c:idx val="1"/>
          <c:order val="1"/>
          <c:tx>
            <c:strRef>
              <c:f>Tabelle2!$C$3</c:f>
              <c:strCache>
                <c:ptCount val="1"/>
              </c:strCache>
            </c:strRef>
          </c:tx>
          <c:spPr>
            <a:solidFill>
              <a:schemeClr val="tx2"/>
            </a:solidFill>
            <a:ln>
              <a:solidFill>
                <a:schemeClr val="tx2"/>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Tabelle2!$A$4:$A$15</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Tabelle2!$C$4:$C$15</c:f>
              <c:numCache>
                <c:formatCode>0.00</c:formatCode>
                <c:ptCount val="12"/>
                <c:pt idx="0">
                  <c:v>0.2</c:v>
                </c:pt>
                <c:pt idx="1">
                  <c:v>0.1</c:v>
                </c:pt>
                <c:pt idx="2">
                  <c:v>0.1</c:v>
                </c:pt>
                <c:pt idx="3">
                  <c:v>0.6</c:v>
                </c:pt>
                <c:pt idx="4">
                  <c:v>0</c:v>
                </c:pt>
                <c:pt idx="5">
                  <c:v>0.5</c:v>
                </c:pt>
                <c:pt idx="6">
                  <c:v>0.5</c:v>
                </c:pt>
                <c:pt idx="7">
                  <c:v>1.2</c:v>
                </c:pt>
                <c:pt idx="8">
                  <c:v>3.5</c:v>
                </c:pt>
                <c:pt idx="9">
                  <c:v>0.8</c:v>
                </c:pt>
                <c:pt idx="10">
                  <c:v>0.8</c:v>
                </c:pt>
                <c:pt idx="11">
                  <c:v>0.6</c:v>
                </c:pt>
              </c:numCache>
            </c:numRef>
          </c:val>
        </c:ser>
        <c:dLbls>
          <c:dLblPos val="outEnd"/>
          <c:showLegendKey val="0"/>
          <c:showVal val="1"/>
          <c:showCatName val="0"/>
          <c:showSerName val="0"/>
          <c:showPercent val="0"/>
          <c:showBubbleSize val="0"/>
        </c:dLbls>
        <c:gapWidth val="150"/>
        <c:axId val="168842368"/>
        <c:axId val="168843904"/>
      </c:barChart>
      <c:catAx>
        <c:axId val="168842368"/>
        <c:scaling>
          <c:orientation val="minMax"/>
        </c:scaling>
        <c:delete val="0"/>
        <c:axPos val="b"/>
        <c:numFmt formatCode="General" sourceLinked="1"/>
        <c:majorTickMark val="out"/>
        <c:minorTickMark val="none"/>
        <c:tickLblPos val="nextTo"/>
        <c:crossAx val="168843904"/>
        <c:crosses val="autoZero"/>
        <c:auto val="1"/>
        <c:lblAlgn val="ctr"/>
        <c:lblOffset val="100"/>
        <c:noMultiLvlLbl val="0"/>
      </c:catAx>
      <c:valAx>
        <c:axId val="168843904"/>
        <c:scaling>
          <c:orientation val="minMax"/>
        </c:scaling>
        <c:delete val="0"/>
        <c:axPos val="l"/>
        <c:majorGridlines>
          <c:spPr>
            <a:ln>
              <a:noFill/>
            </a:ln>
          </c:spPr>
        </c:majorGridlines>
        <c:title>
          <c:tx>
            <c:rich>
              <a:bodyPr rot="-5400000" vert="horz"/>
              <a:lstStyle/>
              <a:p>
                <a:pPr>
                  <a:defRPr/>
                </a:pPr>
                <a:r>
                  <a:rPr lang="en-US" dirty="0"/>
                  <a:t>Inflow from India</a:t>
                </a:r>
                <a:r>
                  <a:rPr lang="en-US" baseline="0" dirty="0"/>
                  <a:t> in EU (€ </a:t>
                </a:r>
                <a:r>
                  <a:rPr lang="en-US" baseline="0" dirty="0" smtClean="0"/>
                  <a:t>billion</a:t>
                </a:r>
                <a:r>
                  <a:rPr lang="en-US" baseline="0" dirty="0"/>
                  <a:t>)</a:t>
                </a:r>
                <a:r>
                  <a:rPr lang="en-US" dirty="0"/>
                  <a:t> </a:t>
                </a:r>
              </a:p>
            </c:rich>
          </c:tx>
          <c:overlay val="0"/>
        </c:title>
        <c:numFmt formatCode="General" sourceLinked="1"/>
        <c:majorTickMark val="out"/>
        <c:minorTickMark val="none"/>
        <c:tickLblPos val="nextTo"/>
        <c:crossAx val="1688423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E495-B342-481B-950C-AE99740A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5231</Words>
  <Characters>29819</Characters>
  <Application>Microsoft Office Word</Application>
  <DocSecurity>0</DocSecurity>
  <Lines>248</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Company>
  <LinksUpToDate>false</LinksUpToDate>
  <CharactersWithSpaces>34981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Ritam</dc:creator>
  <cp:lastModifiedBy>Thea Marie Andresen Vahr</cp:lastModifiedBy>
  <cp:revision>3</cp:revision>
  <dcterms:created xsi:type="dcterms:W3CDTF">2014-08-27T15:04:00Z</dcterms:created>
  <dcterms:modified xsi:type="dcterms:W3CDTF">2014-09-08T07:42:00Z</dcterms:modified>
</cp:coreProperties>
</file>