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E101" w14:textId="77777777" w:rsidR="00662C54" w:rsidRPr="000604BD" w:rsidRDefault="00662C54" w:rsidP="00C33E9E">
      <w:pPr>
        <w:pStyle w:val="ListParagraph"/>
        <w:jc w:val="center"/>
        <w:rPr>
          <w:rFonts w:ascii="Garamond" w:hAnsi="Garamond" w:cs="Times New Roman"/>
          <w:b/>
          <w:sz w:val="24"/>
          <w:szCs w:val="24"/>
          <w:lang w:val="en-GB"/>
        </w:rPr>
      </w:pPr>
    </w:p>
    <w:p w14:paraId="2F5CDF99" w14:textId="77777777" w:rsidR="00662C54" w:rsidRPr="000604BD" w:rsidRDefault="00662C54" w:rsidP="00C33E9E">
      <w:pPr>
        <w:pStyle w:val="ListParagraph"/>
        <w:jc w:val="center"/>
        <w:rPr>
          <w:rFonts w:ascii="Garamond" w:hAnsi="Garamond" w:cs="Times New Roman"/>
          <w:b/>
          <w:sz w:val="24"/>
          <w:szCs w:val="24"/>
          <w:lang w:val="en-GB"/>
        </w:rPr>
      </w:pPr>
    </w:p>
    <w:p w14:paraId="18FAB5AB" w14:textId="77777777" w:rsidR="00662C54" w:rsidRPr="000604BD" w:rsidRDefault="00662C54" w:rsidP="00C33E9E">
      <w:pPr>
        <w:pStyle w:val="ListParagraph"/>
        <w:jc w:val="center"/>
        <w:rPr>
          <w:rFonts w:ascii="Garamond" w:hAnsi="Garamond" w:cs="Times New Roman"/>
          <w:b/>
          <w:sz w:val="24"/>
          <w:szCs w:val="24"/>
          <w:lang w:val="en-GB"/>
        </w:rPr>
      </w:pPr>
    </w:p>
    <w:p w14:paraId="651826BA" w14:textId="77777777" w:rsidR="00662C54" w:rsidRPr="000604BD" w:rsidRDefault="00662C54" w:rsidP="00C33E9E">
      <w:pPr>
        <w:pStyle w:val="ListParagraph"/>
        <w:jc w:val="center"/>
        <w:rPr>
          <w:rFonts w:ascii="Garamond" w:hAnsi="Garamond" w:cs="Times New Roman"/>
          <w:b/>
          <w:sz w:val="24"/>
          <w:szCs w:val="24"/>
          <w:lang w:val="en-GB"/>
        </w:rPr>
      </w:pPr>
    </w:p>
    <w:p w14:paraId="6A92A3F4" w14:textId="77777777" w:rsidR="00662C54" w:rsidRPr="000604BD" w:rsidRDefault="00662C54" w:rsidP="00C33E9E">
      <w:pPr>
        <w:pStyle w:val="ListParagraph"/>
        <w:jc w:val="center"/>
        <w:rPr>
          <w:rFonts w:ascii="Garamond" w:hAnsi="Garamond" w:cs="Times New Roman"/>
          <w:b/>
          <w:sz w:val="24"/>
          <w:szCs w:val="24"/>
          <w:lang w:val="en-GB"/>
        </w:rPr>
      </w:pPr>
    </w:p>
    <w:p w14:paraId="16A8C78C" w14:textId="77777777" w:rsidR="00662C54" w:rsidRPr="000604BD" w:rsidRDefault="00662C54" w:rsidP="00C33E9E">
      <w:pPr>
        <w:pStyle w:val="ListParagraph"/>
        <w:jc w:val="center"/>
        <w:rPr>
          <w:rFonts w:ascii="Garamond" w:hAnsi="Garamond" w:cs="Times New Roman"/>
          <w:b/>
          <w:sz w:val="24"/>
          <w:szCs w:val="24"/>
          <w:lang w:val="en-GB"/>
        </w:rPr>
      </w:pPr>
    </w:p>
    <w:p w14:paraId="78693985" w14:textId="77777777" w:rsidR="00413B69" w:rsidRPr="000604BD" w:rsidRDefault="00413B69" w:rsidP="00C33E9E">
      <w:pPr>
        <w:pStyle w:val="ListParagraph"/>
        <w:jc w:val="center"/>
        <w:rPr>
          <w:rFonts w:ascii="Garamond" w:hAnsi="Garamond" w:cs="Times New Roman"/>
          <w:b/>
          <w:sz w:val="28"/>
          <w:szCs w:val="28"/>
          <w:lang w:val="en-GB"/>
        </w:rPr>
      </w:pPr>
      <w:r w:rsidRPr="000604BD">
        <w:rPr>
          <w:rFonts w:ascii="Garamond" w:hAnsi="Garamond" w:cs="Times New Roman"/>
          <w:b/>
          <w:sz w:val="28"/>
          <w:szCs w:val="28"/>
          <w:lang w:val="en-GB"/>
        </w:rPr>
        <w:t xml:space="preserve">EUROPE AS A DIVERSIFICATION STRATEGY FOR </w:t>
      </w:r>
    </w:p>
    <w:p w14:paraId="2A91ED4A" w14:textId="77D09355" w:rsidR="00413B69" w:rsidRPr="000604BD" w:rsidRDefault="003C62AB" w:rsidP="00C33E9E">
      <w:pPr>
        <w:pStyle w:val="ListParagraph"/>
        <w:jc w:val="center"/>
        <w:rPr>
          <w:rFonts w:ascii="Garamond" w:hAnsi="Garamond" w:cs="Times New Roman"/>
          <w:b/>
          <w:sz w:val="28"/>
          <w:szCs w:val="28"/>
          <w:lang w:val="en-GB"/>
        </w:rPr>
      </w:pPr>
      <w:r w:rsidRPr="000604BD">
        <w:rPr>
          <w:rFonts w:ascii="Garamond" w:hAnsi="Garamond" w:cs="Times New Roman"/>
          <w:b/>
          <w:sz w:val="28"/>
          <w:szCs w:val="28"/>
          <w:lang w:val="en-GB"/>
        </w:rPr>
        <w:t>CHINESE AND INDIAN BUSINESS GROUPS</w:t>
      </w:r>
      <w:r w:rsidR="00EF7495" w:rsidRPr="000604BD">
        <w:rPr>
          <w:rFonts w:ascii="Garamond" w:hAnsi="Garamond" w:cs="Times New Roman"/>
          <w:b/>
          <w:sz w:val="28"/>
          <w:szCs w:val="28"/>
          <w:lang w:val="en-GB"/>
        </w:rPr>
        <w:t xml:space="preserve">: </w:t>
      </w:r>
    </w:p>
    <w:p w14:paraId="54F245E7" w14:textId="3B48F198" w:rsidR="00F254AB" w:rsidRPr="000604BD" w:rsidRDefault="00EF7495" w:rsidP="00C33E9E">
      <w:pPr>
        <w:pStyle w:val="ListParagraph"/>
        <w:jc w:val="center"/>
        <w:rPr>
          <w:rFonts w:ascii="Garamond" w:hAnsi="Garamond" w:cs="Times New Roman"/>
          <w:b/>
          <w:sz w:val="28"/>
          <w:szCs w:val="28"/>
          <w:lang w:val="en-GB"/>
        </w:rPr>
      </w:pPr>
      <w:r w:rsidRPr="000604BD">
        <w:rPr>
          <w:rFonts w:ascii="Garamond" w:hAnsi="Garamond" w:cs="Times New Roman"/>
          <w:b/>
          <w:sz w:val="28"/>
          <w:szCs w:val="28"/>
          <w:lang w:val="en-GB"/>
        </w:rPr>
        <w:t>EVIDENCE FROM</w:t>
      </w:r>
      <w:r w:rsidR="00EE567A" w:rsidRPr="000604BD">
        <w:rPr>
          <w:rFonts w:ascii="Garamond" w:hAnsi="Garamond" w:cs="Times New Roman"/>
          <w:b/>
          <w:sz w:val="28"/>
          <w:szCs w:val="28"/>
          <w:lang w:val="en-GB"/>
        </w:rPr>
        <w:t xml:space="preserve"> FIRM-LEVEL DATA</w:t>
      </w:r>
    </w:p>
    <w:p w14:paraId="6D70A201" w14:textId="77777777" w:rsidR="007F74A7" w:rsidRPr="000604BD" w:rsidRDefault="007F74A7" w:rsidP="00F254AB">
      <w:pPr>
        <w:pStyle w:val="ListParagraph"/>
        <w:rPr>
          <w:rFonts w:ascii="Garamond" w:hAnsi="Garamond" w:cs="Times New Roman"/>
          <w:b/>
          <w:sz w:val="24"/>
          <w:szCs w:val="24"/>
          <w:lang w:val="en-GB"/>
        </w:rPr>
      </w:pPr>
    </w:p>
    <w:p w14:paraId="15040092" w14:textId="77777777" w:rsidR="00266C7E" w:rsidRPr="000604BD" w:rsidRDefault="00266C7E" w:rsidP="00F254AB">
      <w:pPr>
        <w:pStyle w:val="ListParagraph"/>
        <w:rPr>
          <w:rFonts w:ascii="Garamond" w:hAnsi="Garamond" w:cs="Times New Roman"/>
          <w:b/>
          <w:sz w:val="24"/>
          <w:szCs w:val="24"/>
          <w:lang w:val="en-GB"/>
        </w:rPr>
      </w:pPr>
    </w:p>
    <w:p w14:paraId="55968C6C" w14:textId="77777777" w:rsidR="00C33E9E" w:rsidRPr="00A703A9" w:rsidRDefault="00C33E9E" w:rsidP="00C33E9E">
      <w:pPr>
        <w:pStyle w:val="ListParagraph"/>
        <w:jc w:val="center"/>
        <w:rPr>
          <w:rFonts w:ascii="Garamond" w:hAnsi="Garamond" w:cs="Times New Roman"/>
          <w:b/>
          <w:sz w:val="24"/>
          <w:szCs w:val="24"/>
        </w:rPr>
      </w:pPr>
      <w:r w:rsidRPr="00A703A9">
        <w:rPr>
          <w:rFonts w:ascii="Garamond" w:hAnsi="Garamond" w:cs="Times New Roman"/>
          <w:b/>
          <w:sz w:val="24"/>
          <w:szCs w:val="24"/>
        </w:rPr>
        <w:t>Amighini A.</w:t>
      </w:r>
      <w:r w:rsidR="00EE567A" w:rsidRPr="00A703A9">
        <w:rPr>
          <w:rFonts w:ascii="Garamond" w:hAnsi="Garamond" w:cs="Times New Roman"/>
          <w:b/>
          <w:sz w:val="24"/>
          <w:szCs w:val="24"/>
        </w:rPr>
        <w:t xml:space="preserve"> </w:t>
      </w:r>
      <w:r w:rsidRPr="00A703A9">
        <w:rPr>
          <w:rFonts w:ascii="Garamond" w:hAnsi="Garamond" w:cs="Times New Roman"/>
          <w:b/>
          <w:sz w:val="24"/>
          <w:szCs w:val="24"/>
        </w:rPr>
        <w:t>A. , Cozza C., Rabellotti R.</w:t>
      </w:r>
    </w:p>
    <w:p w14:paraId="0B95EB98" w14:textId="77777777" w:rsidR="00C33E9E" w:rsidRPr="00A703A9" w:rsidRDefault="00C33E9E" w:rsidP="00F254AB">
      <w:pPr>
        <w:pStyle w:val="ListParagraph"/>
        <w:rPr>
          <w:rFonts w:ascii="Garamond" w:hAnsi="Garamond" w:cs="Times New Roman"/>
          <w:b/>
          <w:sz w:val="24"/>
          <w:szCs w:val="24"/>
        </w:rPr>
      </w:pPr>
    </w:p>
    <w:p w14:paraId="117BF053" w14:textId="77777777" w:rsidR="00266C7E" w:rsidRPr="00A703A9" w:rsidRDefault="00266C7E" w:rsidP="00F254AB">
      <w:pPr>
        <w:pStyle w:val="ListParagraph"/>
        <w:rPr>
          <w:rFonts w:ascii="Garamond" w:hAnsi="Garamond" w:cs="Times New Roman"/>
          <w:b/>
          <w:sz w:val="24"/>
          <w:szCs w:val="24"/>
        </w:rPr>
      </w:pPr>
    </w:p>
    <w:p w14:paraId="5ABF6C47" w14:textId="77777777" w:rsidR="00C33E9E" w:rsidRPr="00A703A9" w:rsidRDefault="00C33E9E" w:rsidP="00C33E9E">
      <w:pPr>
        <w:pStyle w:val="ListParagraph"/>
        <w:jc w:val="center"/>
        <w:rPr>
          <w:rFonts w:ascii="Garamond" w:hAnsi="Garamond" w:cs="Times New Roman"/>
          <w:b/>
          <w:sz w:val="24"/>
          <w:szCs w:val="24"/>
        </w:rPr>
      </w:pPr>
    </w:p>
    <w:p w14:paraId="19682951" w14:textId="1421E6A5" w:rsidR="00C33E9E" w:rsidRPr="000604BD" w:rsidRDefault="00002E4F" w:rsidP="00C33E9E">
      <w:pPr>
        <w:pStyle w:val="ListParagraph"/>
        <w:jc w:val="center"/>
        <w:rPr>
          <w:rFonts w:ascii="Garamond" w:hAnsi="Garamond" w:cs="Times New Roman"/>
          <w:b/>
          <w:sz w:val="24"/>
          <w:szCs w:val="24"/>
          <w:lang w:val="en-GB"/>
        </w:rPr>
      </w:pPr>
      <w:r>
        <w:rPr>
          <w:rFonts w:ascii="Garamond" w:hAnsi="Garamond" w:cs="Times New Roman"/>
          <w:b/>
          <w:sz w:val="24"/>
          <w:szCs w:val="24"/>
          <w:lang w:val="en-GB"/>
        </w:rPr>
        <w:t>August</w:t>
      </w:r>
      <w:r w:rsidR="00C33E9E" w:rsidRPr="000604BD">
        <w:rPr>
          <w:rFonts w:ascii="Garamond" w:hAnsi="Garamond" w:cs="Times New Roman"/>
          <w:b/>
          <w:sz w:val="24"/>
          <w:szCs w:val="24"/>
          <w:lang w:val="en-GB"/>
        </w:rPr>
        <w:t xml:space="preserve"> 2014</w:t>
      </w:r>
    </w:p>
    <w:p w14:paraId="4C05B89B" w14:textId="77777777" w:rsidR="00C33E9E" w:rsidRPr="000604BD" w:rsidRDefault="00C33E9E" w:rsidP="00F254AB">
      <w:pPr>
        <w:pStyle w:val="ListParagraph"/>
        <w:rPr>
          <w:rFonts w:ascii="Garamond" w:hAnsi="Garamond" w:cs="Times New Roman"/>
          <w:b/>
          <w:sz w:val="24"/>
          <w:szCs w:val="24"/>
          <w:lang w:val="en-GB"/>
        </w:rPr>
      </w:pPr>
    </w:p>
    <w:p w14:paraId="3A7C0772" w14:textId="1B8FA634" w:rsidR="00A703A9" w:rsidRPr="00A703A9" w:rsidRDefault="00A703A9" w:rsidP="00A703A9">
      <w:pPr>
        <w:pStyle w:val="ListParagraph"/>
        <w:jc w:val="center"/>
        <w:rPr>
          <w:rFonts w:ascii="Garamond" w:hAnsi="Garamond" w:cs="Times New Roman"/>
          <w:lang w:val="en-GB"/>
        </w:rPr>
      </w:pPr>
      <w:r w:rsidRPr="00A703A9">
        <w:rPr>
          <w:rFonts w:ascii="Garamond" w:hAnsi="Garamond" w:cs="Times New Roman"/>
          <w:lang w:val="en-GB"/>
        </w:rPr>
        <w:t>Draft prepared for the 4</w:t>
      </w:r>
      <w:r w:rsidRPr="00A703A9">
        <w:rPr>
          <w:rFonts w:ascii="Garamond" w:hAnsi="Garamond" w:cs="Times New Roman"/>
          <w:vertAlign w:val="superscript"/>
          <w:lang w:val="en-GB"/>
        </w:rPr>
        <w:t>th</w:t>
      </w:r>
      <w:r w:rsidRPr="00A703A9">
        <w:rPr>
          <w:rFonts w:ascii="Garamond" w:hAnsi="Garamond" w:cs="Times New Roman"/>
          <w:lang w:val="en-GB"/>
        </w:rPr>
        <w:t xml:space="preserve"> Copenhagen Conference on </w:t>
      </w:r>
    </w:p>
    <w:p w14:paraId="46E12256" w14:textId="43367768" w:rsidR="00737789" w:rsidRDefault="00A703A9" w:rsidP="00A703A9">
      <w:pPr>
        <w:pStyle w:val="ListParagraph"/>
        <w:jc w:val="center"/>
        <w:rPr>
          <w:rFonts w:ascii="Garamond" w:hAnsi="Garamond" w:cs="Times New Roman"/>
          <w:lang w:val="en-GB"/>
        </w:rPr>
      </w:pPr>
      <w:r w:rsidRPr="00A703A9">
        <w:rPr>
          <w:rFonts w:ascii="Garamond" w:hAnsi="Garamond" w:cs="Times New Roman"/>
          <w:lang w:val="en-GB"/>
        </w:rPr>
        <w:t xml:space="preserve">‘Emerging Multinationals: Outward Investment from Emerging Economies’ </w:t>
      </w:r>
    </w:p>
    <w:p w14:paraId="01918414" w14:textId="22F6A672" w:rsidR="00737789" w:rsidRDefault="00737789" w:rsidP="00B90C2E">
      <w:pPr>
        <w:pStyle w:val="ListParagraph"/>
        <w:jc w:val="center"/>
        <w:rPr>
          <w:rFonts w:ascii="Garamond" w:hAnsi="Garamond" w:cs="Times New Roman"/>
          <w:b/>
          <w:sz w:val="24"/>
          <w:szCs w:val="24"/>
          <w:lang w:val="en-GB"/>
        </w:rPr>
      </w:pPr>
    </w:p>
    <w:p w14:paraId="6FBE4CE4" w14:textId="77777777" w:rsidR="00A703A9" w:rsidRPr="000604BD" w:rsidRDefault="00A703A9" w:rsidP="00B90C2E">
      <w:pPr>
        <w:pStyle w:val="ListParagraph"/>
        <w:jc w:val="center"/>
        <w:rPr>
          <w:rFonts w:ascii="Garamond" w:hAnsi="Garamond" w:cs="Times New Roman"/>
          <w:b/>
          <w:sz w:val="24"/>
          <w:szCs w:val="24"/>
          <w:lang w:val="en-GB"/>
        </w:rPr>
      </w:pPr>
    </w:p>
    <w:p w14:paraId="0469DE46" w14:textId="2F335180" w:rsidR="00FD14C4" w:rsidRPr="000604BD" w:rsidRDefault="00B90C2E" w:rsidP="00B90C2E">
      <w:pPr>
        <w:pStyle w:val="ListParagraph"/>
        <w:ind w:left="1418" w:right="851"/>
        <w:jc w:val="both"/>
        <w:rPr>
          <w:rFonts w:ascii="Garamond" w:hAnsi="Garamond" w:cs="Times New Roman"/>
          <w:b/>
          <w:sz w:val="24"/>
          <w:szCs w:val="24"/>
          <w:lang w:val="en-GB"/>
        </w:rPr>
      </w:pPr>
      <w:r w:rsidRPr="000604BD">
        <w:rPr>
          <w:rFonts w:ascii="Garamond" w:hAnsi="Garamond" w:cs="Times New Roman"/>
          <w:b/>
          <w:sz w:val="24"/>
          <w:szCs w:val="24"/>
          <w:lang w:val="en-GB"/>
        </w:rPr>
        <w:t>Abstract</w:t>
      </w:r>
      <w:r w:rsidRPr="000604BD">
        <w:rPr>
          <w:rFonts w:ascii="Garamond" w:hAnsi="Garamond" w:cs="Times New Roman"/>
          <w:lang w:val="en-GB"/>
        </w:rPr>
        <w:t xml:space="preserve"> - We </w:t>
      </w:r>
      <w:r w:rsidR="00FD14C4" w:rsidRPr="000604BD">
        <w:rPr>
          <w:rFonts w:ascii="Garamond" w:hAnsi="Garamond" w:cs="Times New Roman"/>
          <w:lang w:val="en-GB"/>
        </w:rPr>
        <w:t xml:space="preserve">comparatively </w:t>
      </w:r>
      <w:r w:rsidRPr="000604BD">
        <w:rPr>
          <w:rFonts w:ascii="Garamond" w:hAnsi="Garamond" w:cs="Times New Roman"/>
          <w:lang w:val="en-GB"/>
        </w:rPr>
        <w:t xml:space="preserve">analyse the international expansion strategies of BGs from the two largest emerging economies – China and India – in Europe, a major location for their foreign activities outside of Asia, by relying on a novel database – the </w:t>
      </w:r>
      <w:r w:rsidRPr="000604BD">
        <w:rPr>
          <w:rFonts w:ascii="Garamond" w:hAnsi="Garamond" w:cs="Times New Roman"/>
          <w:i/>
          <w:lang w:val="en-GB"/>
        </w:rPr>
        <w:t>Emerging Multinationals’ Events and Networks D</w:t>
      </w:r>
      <w:r w:rsidR="00A703A9">
        <w:rPr>
          <w:rFonts w:ascii="Garamond" w:hAnsi="Garamond" w:cs="Times New Roman"/>
          <w:i/>
          <w:lang w:val="en-GB"/>
        </w:rPr>
        <w:t>ata</w:t>
      </w:r>
      <w:r w:rsidRPr="000604BD">
        <w:rPr>
          <w:rFonts w:ascii="Garamond" w:hAnsi="Garamond" w:cs="Times New Roman"/>
          <w:i/>
          <w:lang w:val="en-GB"/>
        </w:rPr>
        <w:t>base</w:t>
      </w:r>
      <w:r w:rsidRPr="000604BD">
        <w:rPr>
          <w:rFonts w:ascii="Garamond" w:hAnsi="Garamond" w:cs="Times New Roman"/>
          <w:lang w:val="en-GB"/>
        </w:rPr>
        <w:t xml:space="preserve"> (EMENDATA) –</w:t>
      </w:r>
      <w:r w:rsidR="00C31CB9" w:rsidRPr="000604BD">
        <w:rPr>
          <w:rFonts w:ascii="Garamond" w:hAnsi="Garamond" w:cs="Times New Roman"/>
          <w:lang w:val="en-GB"/>
        </w:rPr>
        <w:t>,</w:t>
      </w:r>
      <w:r w:rsidRPr="000604BD">
        <w:rPr>
          <w:rFonts w:ascii="Garamond" w:hAnsi="Garamond" w:cs="Times New Roman"/>
          <w:lang w:val="en-GB"/>
        </w:rPr>
        <w:t xml:space="preserve"> which includes greenfield investments, M&amp;A, and other minority investments. </w:t>
      </w:r>
      <w:r w:rsidR="00FD14C4" w:rsidRPr="000604BD">
        <w:rPr>
          <w:rFonts w:ascii="Garamond" w:hAnsi="Garamond" w:cs="Times New Roman"/>
          <w:lang w:val="en-GB"/>
        </w:rPr>
        <w:t>We build a typology of BGs according to their industry and country diversification strategies. We find that the majority o</w:t>
      </w:r>
      <w:r w:rsidR="00C31CB9" w:rsidRPr="000604BD">
        <w:rPr>
          <w:rFonts w:ascii="Garamond" w:hAnsi="Garamond" w:cs="Times New Roman"/>
          <w:lang w:val="en-GB"/>
        </w:rPr>
        <w:t>f Chinese and Indian BGs entering</w:t>
      </w:r>
      <w:r w:rsidR="00FD14C4" w:rsidRPr="000604BD">
        <w:rPr>
          <w:rFonts w:ascii="Garamond" w:hAnsi="Garamond" w:cs="Times New Roman"/>
          <w:lang w:val="en-GB"/>
        </w:rPr>
        <w:t xml:space="preserve"> Europe </w:t>
      </w:r>
      <w:r w:rsidR="00C31CB9" w:rsidRPr="000604BD">
        <w:rPr>
          <w:rFonts w:ascii="Garamond" w:hAnsi="Garamond" w:cs="Times New Roman"/>
          <w:lang w:val="en-GB"/>
        </w:rPr>
        <w:t>fall in two categories: BGs with extremely limited multinational activity (just one affiliate), and BGs pursuing broader and complex internationalisation strategies</w:t>
      </w:r>
      <w:r w:rsidR="00340777" w:rsidRPr="000604BD">
        <w:rPr>
          <w:rFonts w:ascii="Garamond" w:hAnsi="Garamond" w:cs="Times New Roman"/>
          <w:lang w:val="en-GB"/>
        </w:rPr>
        <w:t xml:space="preserve"> encompassing industry and geographical diversification, as well as multiple entry modes. </w:t>
      </w:r>
    </w:p>
    <w:p w14:paraId="2AD31642" w14:textId="77777777" w:rsidR="00737789" w:rsidRPr="000604BD" w:rsidRDefault="00737789" w:rsidP="00737789">
      <w:pPr>
        <w:pStyle w:val="ListParagraph"/>
        <w:rPr>
          <w:rFonts w:ascii="Garamond" w:hAnsi="Garamond" w:cs="Times New Roman"/>
          <w:b/>
          <w:sz w:val="24"/>
          <w:szCs w:val="24"/>
          <w:lang w:val="en-GB"/>
        </w:rPr>
      </w:pPr>
    </w:p>
    <w:p w14:paraId="14C30115" w14:textId="77777777" w:rsidR="00C04C28" w:rsidRPr="000604BD" w:rsidRDefault="00C04C28" w:rsidP="00737789">
      <w:pPr>
        <w:pStyle w:val="ListParagraph"/>
        <w:rPr>
          <w:rFonts w:ascii="Garamond" w:hAnsi="Garamond" w:cs="Times New Roman"/>
          <w:b/>
          <w:sz w:val="24"/>
          <w:szCs w:val="24"/>
          <w:lang w:val="en-GB"/>
        </w:rPr>
      </w:pPr>
    </w:p>
    <w:p w14:paraId="7F0999A5" w14:textId="77777777" w:rsidR="00737789" w:rsidRPr="000604BD" w:rsidRDefault="00737789" w:rsidP="00737789">
      <w:pPr>
        <w:pStyle w:val="ListParagraph"/>
        <w:rPr>
          <w:rFonts w:ascii="Garamond" w:hAnsi="Garamond" w:cs="Times New Roman"/>
          <w:b/>
          <w:sz w:val="24"/>
          <w:szCs w:val="24"/>
          <w:lang w:val="en-GB"/>
        </w:rPr>
      </w:pPr>
    </w:p>
    <w:p w14:paraId="290C2FE6" w14:textId="69598193" w:rsidR="00737789" w:rsidRPr="00657C72" w:rsidRDefault="00A703A9" w:rsidP="00737789">
      <w:pPr>
        <w:pStyle w:val="ListParagraph"/>
        <w:rPr>
          <w:rFonts w:ascii="Garamond" w:hAnsi="Garamond" w:cs="Times New Roman"/>
          <w:b/>
          <w:lang w:val="en-GB"/>
        </w:rPr>
      </w:pPr>
      <w:r w:rsidRPr="00657C72">
        <w:rPr>
          <w:rFonts w:ascii="Garamond" w:hAnsi="Garamond" w:cs="Times New Roman"/>
          <w:b/>
          <w:lang w:val="en-GB"/>
        </w:rPr>
        <w:t>J</w:t>
      </w:r>
      <w:r w:rsidR="00737789" w:rsidRPr="00657C72">
        <w:rPr>
          <w:rFonts w:ascii="Garamond" w:hAnsi="Garamond" w:cs="Times New Roman"/>
          <w:b/>
          <w:lang w:val="en-GB"/>
        </w:rPr>
        <w:t>EL:</w:t>
      </w:r>
      <w:r w:rsidRPr="00657C72">
        <w:rPr>
          <w:rFonts w:ascii="Garamond" w:hAnsi="Garamond" w:cs="Times New Roman"/>
          <w:b/>
          <w:lang w:val="en-GB"/>
        </w:rPr>
        <w:t xml:space="preserve"> </w:t>
      </w:r>
      <w:r w:rsidR="00657C72" w:rsidRPr="00657C72">
        <w:rPr>
          <w:rFonts w:ascii="Garamond" w:hAnsi="Garamond" w:cs="Times New Roman"/>
          <w:lang w:val="en-GB"/>
        </w:rPr>
        <w:t>F21, F23</w:t>
      </w:r>
    </w:p>
    <w:p w14:paraId="53964B84" w14:textId="77777777" w:rsidR="00737789" w:rsidRPr="00657C72" w:rsidRDefault="00737789" w:rsidP="00737789">
      <w:pPr>
        <w:pStyle w:val="ListParagraph"/>
        <w:rPr>
          <w:rFonts w:ascii="Garamond" w:hAnsi="Garamond" w:cs="Times New Roman"/>
          <w:b/>
          <w:lang w:val="en-GB"/>
        </w:rPr>
      </w:pPr>
    </w:p>
    <w:p w14:paraId="47DBF34D" w14:textId="7298B079" w:rsidR="00737789" w:rsidRPr="00657C72" w:rsidRDefault="00737789" w:rsidP="00737789">
      <w:pPr>
        <w:pStyle w:val="ListParagraph"/>
        <w:rPr>
          <w:rFonts w:ascii="Garamond" w:hAnsi="Garamond" w:cs="Times New Roman"/>
          <w:b/>
          <w:lang w:val="en-GB"/>
        </w:rPr>
      </w:pPr>
      <w:r w:rsidRPr="00657C72">
        <w:rPr>
          <w:rFonts w:ascii="Garamond" w:hAnsi="Garamond" w:cs="Times New Roman"/>
          <w:b/>
          <w:lang w:val="en-GB"/>
        </w:rPr>
        <w:t>Keywords:</w:t>
      </w:r>
      <w:r w:rsidR="00A703A9" w:rsidRPr="00657C72">
        <w:rPr>
          <w:rFonts w:ascii="Garamond" w:hAnsi="Garamond" w:cs="Times New Roman"/>
          <w:b/>
          <w:lang w:val="en-GB"/>
        </w:rPr>
        <w:t xml:space="preserve"> </w:t>
      </w:r>
      <w:r w:rsidR="00A703A9" w:rsidRPr="00657C72">
        <w:rPr>
          <w:rFonts w:ascii="Garamond" w:hAnsi="Garamond" w:cs="Times New Roman"/>
          <w:lang w:val="en-GB"/>
        </w:rPr>
        <w:t>business groups, foreign direct investment, China, India, emerging multinationals, internationalisation</w:t>
      </w:r>
    </w:p>
    <w:p w14:paraId="5C119D79" w14:textId="77777777" w:rsidR="00737789" w:rsidRPr="000604BD" w:rsidRDefault="00737789" w:rsidP="00737789">
      <w:pPr>
        <w:pStyle w:val="ListParagraph"/>
        <w:rPr>
          <w:rFonts w:ascii="Garamond" w:hAnsi="Garamond" w:cs="Times New Roman"/>
          <w:b/>
          <w:sz w:val="24"/>
          <w:szCs w:val="24"/>
          <w:lang w:val="en-GB"/>
        </w:rPr>
      </w:pPr>
    </w:p>
    <w:p w14:paraId="45EF1F53" w14:textId="77777777" w:rsidR="00737789" w:rsidRDefault="00737789" w:rsidP="00F254AB">
      <w:pPr>
        <w:pStyle w:val="ListParagraph"/>
        <w:rPr>
          <w:rFonts w:ascii="Garamond" w:hAnsi="Garamond" w:cs="Times New Roman"/>
          <w:b/>
          <w:sz w:val="24"/>
          <w:szCs w:val="24"/>
          <w:lang w:val="en-GB"/>
        </w:rPr>
      </w:pPr>
    </w:p>
    <w:p w14:paraId="18ECF8E2" w14:textId="77777777" w:rsidR="00A703A9" w:rsidRDefault="00A703A9" w:rsidP="00F254AB">
      <w:pPr>
        <w:pStyle w:val="ListParagraph"/>
        <w:rPr>
          <w:rFonts w:ascii="Garamond" w:hAnsi="Garamond" w:cs="Times New Roman"/>
          <w:b/>
          <w:sz w:val="24"/>
          <w:szCs w:val="24"/>
          <w:lang w:val="en-GB"/>
        </w:rPr>
      </w:pPr>
    </w:p>
    <w:p w14:paraId="5614C560" w14:textId="77777777" w:rsidR="00A703A9" w:rsidRDefault="00A703A9" w:rsidP="00F254AB">
      <w:pPr>
        <w:pStyle w:val="ListParagraph"/>
        <w:rPr>
          <w:rFonts w:ascii="Garamond" w:hAnsi="Garamond" w:cs="Times New Roman"/>
          <w:b/>
          <w:sz w:val="24"/>
          <w:szCs w:val="24"/>
          <w:lang w:val="en-GB"/>
        </w:rPr>
      </w:pPr>
    </w:p>
    <w:p w14:paraId="75E4D474" w14:textId="77777777" w:rsidR="00A703A9" w:rsidRDefault="00A703A9" w:rsidP="00F254AB">
      <w:pPr>
        <w:pStyle w:val="ListParagraph"/>
        <w:rPr>
          <w:rFonts w:ascii="Garamond" w:hAnsi="Garamond" w:cs="Times New Roman"/>
          <w:b/>
          <w:sz w:val="24"/>
          <w:szCs w:val="24"/>
          <w:lang w:val="en-GB"/>
        </w:rPr>
      </w:pPr>
    </w:p>
    <w:p w14:paraId="66B76B83" w14:textId="77777777" w:rsidR="00A703A9" w:rsidRDefault="00A703A9" w:rsidP="00F254AB">
      <w:pPr>
        <w:pStyle w:val="ListParagraph"/>
        <w:rPr>
          <w:rFonts w:ascii="Garamond" w:hAnsi="Garamond" w:cs="Times New Roman"/>
          <w:b/>
          <w:sz w:val="24"/>
          <w:szCs w:val="24"/>
          <w:lang w:val="en-GB"/>
        </w:rPr>
      </w:pPr>
    </w:p>
    <w:p w14:paraId="25A466B8" w14:textId="77777777" w:rsidR="00A703A9" w:rsidRDefault="00A703A9" w:rsidP="00F254AB">
      <w:pPr>
        <w:pStyle w:val="ListParagraph"/>
        <w:rPr>
          <w:rFonts w:ascii="Garamond" w:hAnsi="Garamond" w:cs="Times New Roman"/>
          <w:b/>
          <w:sz w:val="24"/>
          <w:szCs w:val="24"/>
          <w:lang w:val="en-GB"/>
        </w:rPr>
      </w:pPr>
    </w:p>
    <w:p w14:paraId="2F056A6D" w14:textId="77777777" w:rsidR="00A703A9" w:rsidRPr="000604BD" w:rsidRDefault="00A703A9" w:rsidP="00F254AB">
      <w:pPr>
        <w:pStyle w:val="ListParagraph"/>
        <w:rPr>
          <w:rFonts w:ascii="Garamond" w:hAnsi="Garamond" w:cs="Times New Roman"/>
          <w:b/>
          <w:sz w:val="24"/>
          <w:szCs w:val="24"/>
          <w:lang w:val="en-GB"/>
        </w:rPr>
      </w:pPr>
      <w:bookmarkStart w:id="0" w:name="_GoBack"/>
      <w:bookmarkEnd w:id="0"/>
    </w:p>
    <w:p w14:paraId="024D6D0F" w14:textId="77777777" w:rsidR="007F74A7" w:rsidRPr="000604BD" w:rsidRDefault="007F74A7" w:rsidP="00284FF5">
      <w:pPr>
        <w:pStyle w:val="ListParagraph"/>
        <w:numPr>
          <w:ilvl w:val="0"/>
          <w:numId w:val="3"/>
        </w:numPr>
        <w:ind w:left="0" w:firstLine="0"/>
        <w:rPr>
          <w:rFonts w:ascii="Garamond" w:hAnsi="Garamond" w:cs="Times New Roman"/>
          <w:b/>
          <w:sz w:val="28"/>
          <w:szCs w:val="28"/>
          <w:lang w:val="en-GB"/>
        </w:rPr>
      </w:pPr>
      <w:r w:rsidRPr="000604BD">
        <w:rPr>
          <w:rFonts w:ascii="Garamond" w:hAnsi="Garamond" w:cs="Times New Roman"/>
          <w:b/>
          <w:sz w:val="28"/>
          <w:szCs w:val="28"/>
          <w:lang w:val="en-GB"/>
        </w:rPr>
        <w:lastRenderedPageBreak/>
        <w:t>Introduction</w:t>
      </w:r>
    </w:p>
    <w:p w14:paraId="6F5D9630" w14:textId="77777777" w:rsidR="00266C7E" w:rsidRPr="000604BD" w:rsidRDefault="00266C7E" w:rsidP="00266C7E">
      <w:pPr>
        <w:pStyle w:val="ListParagraph"/>
        <w:ind w:left="1080"/>
        <w:rPr>
          <w:rFonts w:ascii="Garamond" w:hAnsi="Garamond" w:cs="Times New Roman"/>
          <w:sz w:val="24"/>
          <w:szCs w:val="24"/>
          <w:lang w:val="en-GB"/>
        </w:rPr>
      </w:pPr>
    </w:p>
    <w:p w14:paraId="34C8FB85" w14:textId="0235D70C" w:rsidR="00C77C11" w:rsidRPr="000604BD" w:rsidRDefault="00727D25" w:rsidP="00C77C11">
      <w:pPr>
        <w:pStyle w:val="ListParagraph"/>
        <w:spacing w:line="360" w:lineRule="auto"/>
        <w:ind w:left="0"/>
        <w:jc w:val="both"/>
        <w:rPr>
          <w:rFonts w:ascii="Garamond" w:hAnsi="Garamond" w:cs="Times New Roman"/>
          <w:lang w:val="en-GB"/>
        </w:rPr>
      </w:pPr>
      <w:r w:rsidRPr="000604BD">
        <w:rPr>
          <w:rFonts w:ascii="Garamond" w:hAnsi="Garamond" w:cs="Times New Roman"/>
          <w:lang w:val="en-GB"/>
        </w:rPr>
        <w:t>T</w:t>
      </w:r>
      <w:r w:rsidR="001F62ED" w:rsidRPr="000604BD">
        <w:rPr>
          <w:rFonts w:ascii="Garamond" w:hAnsi="Garamond" w:cs="Times New Roman"/>
          <w:lang w:val="en-GB"/>
        </w:rPr>
        <w:t xml:space="preserve">he </w:t>
      </w:r>
      <w:r w:rsidR="0019469F" w:rsidRPr="000604BD">
        <w:rPr>
          <w:rFonts w:ascii="Garamond" w:hAnsi="Garamond" w:cs="Times New Roman"/>
          <w:lang w:val="en-GB"/>
        </w:rPr>
        <w:t xml:space="preserve">surge in </w:t>
      </w:r>
      <w:r w:rsidR="00513249" w:rsidRPr="000604BD">
        <w:rPr>
          <w:rFonts w:ascii="Garamond" w:hAnsi="Garamond" w:cs="Times New Roman"/>
          <w:lang w:val="en-GB"/>
        </w:rPr>
        <w:t xml:space="preserve">the </w:t>
      </w:r>
      <w:r w:rsidR="0019469F" w:rsidRPr="000604BD">
        <w:rPr>
          <w:rFonts w:ascii="Garamond" w:hAnsi="Garamond" w:cs="Times New Roman"/>
          <w:lang w:val="en-GB"/>
        </w:rPr>
        <w:t xml:space="preserve">international expansion of </w:t>
      </w:r>
      <w:r w:rsidR="001F62ED" w:rsidRPr="000604BD">
        <w:rPr>
          <w:rFonts w:ascii="Garamond" w:hAnsi="Garamond" w:cs="Times New Roman"/>
          <w:lang w:val="en-GB"/>
        </w:rPr>
        <w:t xml:space="preserve">firms from </w:t>
      </w:r>
      <w:r w:rsidR="0019469F" w:rsidRPr="000604BD">
        <w:rPr>
          <w:rFonts w:ascii="Garamond" w:hAnsi="Garamond" w:cs="Times New Roman"/>
          <w:lang w:val="en-GB"/>
        </w:rPr>
        <w:t>emerging market</w:t>
      </w:r>
      <w:r w:rsidRPr="000604BD">
        <w:rPr>
          <w:rFonts w:ascii="Garamond" w:hAnsi="Garamond" w:cs="Times New Roman"/>
          <w:lang w:val="en-GB"/>
        </w:rPr>
        <w:t>s</w:t>
      </w:r>
      <w:r w:rsidR="004E7AE6" w:rsidRPr="000604BD">
        <w:rPr>
          <w:rFonts w:ascii="Garamond" w:hAnsi="Garamond" w:cs="Times New Roman"/>
          <w:lang w:val="en-GB"/>
        </w:rPr>
        <w:t xml:space="preserve"> – emerging market multinationals (EM</w:t>
      </w:r>
      <w:r w:rsidR="007C3A58" w:rsidRPr="000604BD">
        <w:rPr>
          <w:rFonts w:ascii="Garamond" w:hAnsi="Garamond" w:cs="Times New Roman"/>
          <w:lang w:val="en-GB"/>
        </w:rPr>
        <w:t>N</w:t>
      </w:r>
      <w:r w:rsidR="004E7AE6" w:rsidRPr="000604BD">
        <w:rPr>
          <w:rFonts w:ascii="Garamond" w:hAnsi="Garamond" w:cs="Times New Roman"/>
          <w:lang w:val="en-GB"/>
        </w:rPr>
        <w:t>Es) –</w:t>
      </w:r>
      <w:r w:rsidR="0019469F" w:rsidRPr="000604BD">
        <w:rPr>
          <w:rFonts w:ascii="Garamond" w:hAnsi="Garamond" w:cs="Times New Roman"/>
          <w:lang w:val="en-GB"/>
        </w:rPr>
        <w:t xml:space="preserve"> </w:t>
      </w:r>
      <w:r w:rsidR="004E7AE6" w:rsidRPr="000604BD">
        <w:rPr>
          <w:rFonts w:ascii="Garamond" w:hAnsi="Garamond" w:cs="Times New Roman"/>
          <w:lang w:val="en-GB"/>
        </w:rPr>
        <w:t xml:space="preserve">through foreign direct investments (FDI) </w:t>
      </w:r>
      <w:r w:rsidRPr="000604BD">
        <w:rPr>
          <w:rFonts w:ascii="Garamond" w:hAnsi="Garamond" w:cs="Times New Roman"/>
          <w:lang w:val="en-GB"/>
        </w:rPr>
        <w:t xml:space="preserve">has inspired a huge specialised and scholarly literature investigating </w:t>
      </w:r>
      <w:r w:rsidR="004E7AE6" w:rsidRPr="000604BD">
        <w:rPr>
          <w:rFonts w:ascii="Garamond" w:hAnsi="Garamond" w:cs="Times New Roman"/>
          <w:lang w:val="en-GB"/>
        </w:rPr>
        <w:t xml:space="preserve">the rationale, strategies, patterns and impact of </w:t>
      </w:r>
      <w:r w:rsidR="00737789" w:rsidRPr="000604BD">
        <w:rPr>
          <w:rFonts w:ascii="Garamond" w:hAnsi="Garamond" w:cs="Times New Roman"/>
          <w:lang w:val="en-GB"/>
        </w:rPr>
        <w:t>EM</w:t>
      </w:r>
      <w:r w:rsidR="007C3A58" w:rsidRPr="000604BD">
        <w:rPr>
          <w:rFonts w:ascii="Garamond" w:hAnsi="Garamond" w:cs="Times New Roman"/>
          <w:lang w:val="en-GB"/>
        </w:rPr>
        <w:t>N</w:t>
      </w:r>
      <w:r w:rsidR="00737789" w:rsidRPr="000604BD">
        <w:rPr>
          <w:rFonts w:ascii="Garamond" w:hAnsi="Garamond" w:cs="Times New Roman"/>
          <w:lang w:val="en-GB"/>
        </w:rPr>
        <w:t xml:space="preserve">Es’ </w:t>
      </w:r>
      <w:r w:rsidR="004E7AE6" w:rsidRPr="000604BD">
        <w:rPr>
          <w:rFonts w:ascii="Garamond" w:hAnsi="Garamond" w:cs="Times New Roman"/>
          <w:lang w:val="en-GB"/>
        </w:rPr>
        <w:t>overseas activities (for a review of the literature see Amighini et al</w:t>
      </w:r>
      <w:r w:rsidR="007C3A58" w:rsidRPr="000604BD">
        <w:rPr>
          <w:rFonts w:ascii="Garamond" w:hAnsi="Garamond" w:cs="Times New Roman"/>
          <w:lang w:val="en-GB"/>
        </w:rPr>
        <w:t xml:space="preserve">, </w:t>
      </w:r>
      <w:r w:rsidR="00D150C5" w:rsidRPr="000604BD">
        <w:rPr>
          <w:rFonts w:ascii="Garamond" w:hAnsi="Garamond" w:cs="Times New Roman"/>
          <w:lang w:val="en-GB"/>
        </w:rPr>
        <w:t xml:space="preserve">forthcoming </w:t>
      </w:r>
      <w:r w:rsidR="00657C72">
        <w:rPr>
          <w:rFonts w:ascii="Garamond" w:hAnsi="Garamond" w:cs="Times New Roman"/>
          <w:lang w:val="en-GB"/>
        </w:rPr>
        <w:t>(</w:t>
      </w:r>
      <w:r w:rsidR="00D150C5" w:rsidRPr="000604BD">
        <w:rPr>
          <w:rFonts w:ascii="Garamond" w:hAnsi="Garamond" w:cs="Times New Roman"/>
          <w:lang w:val="en-GB"/>
        </w:rPr>
        <w:t>a</w:t>
      </w:r>
      <w:r w:rsidR="00657C72">
        <w:rPr>
          <w:rFonts w:ascii="Garamond" w:hAnsi="Garamond" w:cs="Times New Roman"/>
          <w:lang w:val="en-GB"/>
        </w:rPr>
        <w:t>)</w:t>
      </w:r>
      <w:r w:rsidR="004E7AE6" w:rsidRPr="000604BD">
        <w:rPr>
          <w:rFonts w:ascii="Garamond" w:hAnsi="Garamond" w:cs="Times New Roman"/>
          <w:lang w:val="en-GB"/>
        </w:rPr>
        <w:t xml:space="preserve">). </w:t>
      </w:r>
      <w:r w:rsidR="00C77C11" w:rsidRPr="000604BD">
        <w:rPr>
          <w:rFonts w:ascii="Garamond" w:hAnsi="Garamond" w:cs="Times New Roman"/>
          <w:lang w:val="en-GB"/>
        </w:rPr>
        <w:t xml:space="preserve">Due to the serious limitations imposed by the lack of comprehensive </w:t>
      </w:r>
      <w:r w:rsidR="007C3A58" w:rsidRPr="000604BD">
        <w:rPr>
          <w:rFonts w:ascii="Garamond" w:hAnsi="Garamond" w:cs="Times New Roman"/>
          <w:lang w:val="en-GB"/>
        </w:rPr>
        <w:t xml:space="preserve">firm-level </w:t>
      </w:r>
      <w:r w:rsidR="00C77C11" w:rsidRPr="000604BD">
        <w:rPr>
          <w:rFonts w:ascii="Garamond" w:hAnsi="Garamond" w:cs="Times New Roman"/>
          <w:lang w:val="en-GB"/>
        </w:rPr>
        <w:t>data sources on EM</w:t>
      </w:r>
      <w:r w:rsidR="007C3A58" w:rsidRPr="000604BD">
        <w:rPr>
          <w:rFonts w:ascii="Garamond" w:hAnsi="Garamond" w:cs="Times New Roman"/>
          <w:lang w:val="en-GB"/>
        </w:rPr>
        <w:t>N</w:t>
      </w:r>
      <w:r w:rsidR="00C77C11" w:rsidRPr="000604BD">
        <w:rPr>
          <w:rFonts w:ascii="Garamond" w:hAnsi="Garamond" w:cs="Times New Roman"/>
          <w:lang w:val="en-GB"/>
        </w:rPr>
        <w:t>Es’ international activities, s</w:t>
      </w:r>
      <w:r w:rsidR="004E7AE6" w:rsidRPr="000604BD">
        <w:rPr>
          <w:rFonts w:ascii="Garamond" w:hAnsi="Garamond" w:cs="Times New Roman"/>
          <w:lang w:val="en-GB"/>
        </w:rPr>
        <w:t xml:space="preserve">tudies have </w:t>
      </w:r>
      <w:r w:rsidR="00C77C11" w:rsidRPr="000604BD">
        <w:rPr>
          <w:rFonts w:ascii="Garamond" w:hAnsi="Garamond" w:cs="Times New Roman"/>
          <w:lang w:val="en-GB"/>
        </w:rPr>
        <w:t xml:space="preserve">so far </w:t>
      </w:r>
      <w:r w:rsidR="004E7AE6" w:rsidRPr="000604BD">
        <w:rPr>
          <w:rFonts w:ascii="Garamond" w:hAnsi="Garamond" w:cs="Times New Roman"/>
          <w:lang w:val="en-GB"/>
        </w:rPr>
        <w:t xml:space="preserve">ranged from single </w:t>
      </w:r>
      <w:r w:rsidR="00D150C5" w:rsidRPr="000604BD">
        <w:rPr>
          <w:rFonts w:ascii="Garamond" w:hAnsi="Garamond" w:cs="Times New Roman"/>
          <w:lang w:val="en-GB"/>
        </w:rPr>
        <w:t>and</w:t>
      </w:r>
      <w:r w:rsidR="004E7AE6" w:rsidRPr="000604BD">
        <w:rPr>
          <w:rFonts w:ascii="Garamond" w:hAnsi="Garamond" w:cs="Times New Roman"/>
          <w:lang w:val="en-GB"/>
        </w:rPr>
        <w:t xml:space="preserve"> comparative country cases to sector analyses, from selected EM</w:t>
      </w:r>
      <w:r w:rsidR="007C3A58" w:rsidRPr="000604BD">
        <w:rPr>
          <w:rFonts w:ascii="Garamond" w:hAnsi="Garamond" w:cs="Times New Roman"/>
          <w:lang w:val="en-GB"/>
        </w:rPr>
        <w:t>N</w:t>
      </w:r>
      <w:r w:rsidR="004E7AE6" w:rsidRPr="000604BD">
        <w:rPr>
          <w:rFonts w:ascii="Garamond" w:hAnsi="Garamond" w:cs="Times New Roman"/>
          <w:lang w:val="en-GB"/>
        </w:rPr>
        <w:t>Es’ experiences to empirical analyses based on survey data.</w:t>
      </w:r>
      <w:r w:rsidR="00657C72">
        <w:rPr>
          <w:rFonts w:ascii="Garamond" w:hAnsi="Garamond" w:cs="Times New Roman"/>
          <w:lang w:val="en-GB"/>
        </w:rPr>
        <w:t xml:space="preserve"> Moreover</w:t>
      </w:r>
      <w:r w:rsidR="00C77C11" w:rsidRPr="000604BD">
        <w:rPr>
          <w:rFonts w:ascii="Garamond" w:hAnsi="Garamond" w:cs="Times New Roman"/>
          <w:lang w:val="en-GB"/>
        </w:rPr>
        <w:t xml:space="preserve">, </w:t>
      </w:r>
      <w:r w:rsidR="004E7AE6" w:rsidRPr="000604BD">
        <w:rPr>
          <w:rFonts w:ascii="Garamond" w:hAnsi="Garamond" w:cs="Times New Roman"/>
          <w:lang w:val="en-GB"/>
        </w:rPr>
        <w:t xml:space="preserve">most of the studies </w:t>
      </w:r>
      <w:r w:rsidR="00C77C11" w:rsidRPr="000604BD">
        <w:rPr>
          <w:rFonts w:ascii="Garamond" w:hAnsi="Garamond" w:cs="Times New Roman"/>
          <w:lang w:val="en-GB"/>
        </w:rPr>
        <w:t>have</w:t>
      </w:r>
      <w:r w:rsidR="004E7AE6" w:rsidRPr="000604BD">
        <w:rPr>
          <w:rFonts w:ascii="Garamond" w:hAnsi="Garamond" w:cs="Times New Roman"/>
          <w:lang w:val="en-GB"/>
        </w:rPr>
        <w:t xml:space="preserve"> focus</w:t>
      </w:r>
      <w:r w:rsidR="00C77C11" w:rsidRPr="000604BD">
        <w:rPr>
          <w:rFonts w:ascii="Garamond" w:hAnsi="Garamond" w:cs="Times New Roman"/>
          <w:lang w:val="en-GB"/>
        </w:rPr>
        <w:t>ed</w:t>
      </w:r>
      <w:r w:rsidR="004E7AE6" w:rsidRPr="000604BD">
        <w:rPr>
          <w:rFonts w:ascii="Garamond" w:hAnsi="Garamond" w:cs="Times New Roman"/>
          <w:lang w:val="en-GB"/>
        </w:rPr>
        <w:t xml:space="preserve"> on one entry mode at a time, i.e. either on greenfield FDI  (among the more recent evidence with firm-level data, see Amighini and Franco, 2013; Amighini et al., 2013a, 2013b; De Beule and van de Bulcke, 2012) or on </w:t>
      </w:r>
      <w:r w:rsidR="00D150C5" w:rsidRPr="000604BD">
        <w:rPr>
          <w:rFonts w:ascii="Garamond" w:hAnsi="Garamond" w:cs="Times New Roman"/>
          <w:lang w:val="en-GB"/>
        </w:rPr>
        <w:t>mergers and acquisitions (</w:t>
      </w:r>
      <w:r w:rsidR="004E7AE6" w:rsidRPr="000604BD">
        <w:rPr>
          <w:rFonts w:ascii="Garamond" w:hAnsi="Garamond" w:cs="Times New Roman"/>
          <w:lang w:val="en-GB"/>
        </w:rPr>
        <w:t>M&amp;A</w:t>
      </w:r>
      <w:r w:rsidR="00D150C5" w:rsidRPr="000604BD">
        <w:rPr>
          <w:rFonts w:ascii="Garamond" w:hAnsi="Garamond" w:cs="Times New Roman"/>
          <w:lang w:val="en-GB"/>
        </w:rPr>
        <w:t>)</w:t>
      </w:r>
      <w:r w:rsidR="004E7AE6" w:rsidRPr="000604BD">
        <w:rPr>
          <w:rFonts w:ascii="Garamond" w:hAnsi="Garamond" w:cs="Times New Roman"/>
          <w:lang w:val="en-GB"/>
        </w:rPr>
        <w:t xml:space="preserve"> (Bhabra and Huang, 2013).</w:t>
      </w:r>
      <w:r w:rsidR="00C77C11" w:rsidRPr="000604BD">
        <w:rPr>
          <w:rFonts w:ascii="Garamond" w:hAnsi="Garamond" w:cs="Times New Roman"/>
          <w:lang w:val="en-GB"/>
        </w:rPr>
        <w:t xml:space="preserve"> Yet, EM</w:t>
      </w:r>
      <w:r w:rsidR="007C3A58" w:rsidRPr="000604BD">
        <w:rPr>
          <w:rFonts w:ascii="Garamond" w:hAnsi="Garamond" w:cs="Times New Roman"/>
          <w:lang w:val="en-GB"/>
        </w:rPr>
        <w:t>N</w:t>
      </w:r>
      <w:r w:rsidR="00C77C11" w:rsidRPr="000604BD">
        <w:rPr>
          <w:rFonts w:ascii="Garamond" w:hAnsi="Garamond" w:cs="Times New Roman"/>
          <w:lang w:val="en-GB"/>
        </w:rPr>
        <w:t xml:space="preserve">Es have increasingly ventured abroad in complex ways, encompassing </w:t>
      </w:r>
      <w:r w:rsidR="000A1AB2" w:rsidRPr="000604BD">
        <w:rPr>
          <w:rFonts w:ascii="Garamond" w:hAnsi="Garamond" w:cs="Times New Roman"/>
          <w:lang w:val="en-GB"/>
        </w:rPr>
        <w:t xml:space="preserve">both </w:t>
      </w:r>
      <w:r w:rsidR="0093096C" w:rsidRPr="000604BD">
        <w:rPr>
          <w:rFonts w:ascii="Garamond" w:hAnsi="Garamond" w:cs="Times New Roman"/>
          <w:lang w:val="en-GB"/>
        </w:rPr>
        <w:t>M&amp;A and greenfield investments</w:t>
      </w:r>
      <w:r w:rsidR="007C3A58" w:rsidRPr="000604BD">
        <w:rPr>
          <w:rFonts w:ascii="Garamond" w:hAnsi="Garamond" w:cs="Times New Roman"/>
          <w:lang w:val="en-GB"/>
        </w:rPr>
        <w:t xml:space="preserve">, both of which are </w:t>
      </w:r>
      <w:r w:rsidR="00D150C5" w:rsidRPr="000604BD">
        <w:rPr>
          <w:rFonts w:ascii="Garamond" w:hAnsi="Garamond" w:cs="Times New Roman"/>
          <w:lang w:val="en-GB"/>
        </w:rPr>
        <w:t xml:space="preserve">clearly </w:t>
      </w:r>
      <w:r w:rsidR="00C77C11" w:rsidRPr="000604BD">
        <w:rPr>
          <w:rFonts w:ascii="Garamond" w:hAnsi="Garamond" w:cs="Times New Roman"/>
          <w:lang w:val="en-GB"/>
        </w:rPr>
        <w:t xml:space="preserve">part of a </w:t>
      </w:r>
      <w:r w:rsidR="00D150C5" w:rsidRPr="000604BD">
        <w:rPr>
          <w:rFonts w:ascii="Garamond" w:hAnsi="Garamond" w:cs="Times New Roman"/>
          <w:lang w:val="en-GB"/>
        </w:rPr>
        <w:t>unified</w:t>
      </w:r>
      <w:r w:rsidR="007C3A58" w:rsidRPr="000604BD">
        <w:rPr>
          <w:rFonts w:ascii="Garamond" w:hAnsi="Garamond" w:cs="Times New Roman"/>
          <w:lang w:val="en-GB"/>
        </w:rPr>
        <w:t xml:space="preserve"> </w:t>
      </w:r>
      <w:r w:rsidR="00C77C11" w:rsidRPr="000604BD">
        <w:rPr>
          <w:rFonts w:ascii="Garamond" w:hAnsi="Garamond" w:cs="Times New Roman"/>
          <w:lang w:val="en-GB"/>
        </w:rPr>
        <w:t>internationalisation strategy</w:t>
      </w:r>
      <w:r w:rsidR="007C3A58" w:rsidRPr="000604BD">
        <w:rPr>
          <w:rFonts w:ascii="Garamond" w:hAnsi="Garamond" w:cs="Times New Roman"/>
          <w:lang w:val="en-GB"/>
        </w:rPr>
        <w:t xml:space="preserve"> and should therefore be studied jointly and not separately</w:t>
      </w:r>
      <w:r w:rsidR="00C77C11" w:rsidRPr="000604BD">
        <w:rPr>
          <w:rFonts w:ascii="Garamond" w:hAnsi="Garamond" w:cs="Times New Roman"/>
          <w:lang w:val="en-GB"/>
        </w:rPr>
        <w:t xml:space="preserve">. Most importantly, the vast majority of EMNEs investing abroad are not independent and unaffiliated firms but instead </w:t>
      </w:r>
      <w:r w:rsidR="007C3A58" w:rsidRPr="000604BD">
        <w:rPr>
          <w:rFonts w:ascii="Garamond" w:hAnsi="Garamond" w:cs="Times New Roman"/>
          <w:lang w:val="en-GB"/>
        </w:rPr>
        <w:t>are affiliated to</w:t>
      </w:r>
      <w:r w:rsidR="00C77C11" w:rsidRPr="000604BD">
        <w:rPr>
          <w:rFonts w:ascii="Garamond" w:hAnsi="Garamond" w:cs="Times New Roman"/>
          <w:lang w:val="en-GB"/>
        </w:rPr>
        <w:t xml:space="preserve"> Business Groups (BGs). As such, the international expansion strategies of emerging market firms are best analysed when taking into account that they very often </w:t>
      </w:r>
      <w:r w:rsidR="00657C72" w:rsidRPr="000604BD">
        <w:rPr>
          <w:rFonts w:ascii="Garamond" w:hAnsi="Garamond" w:cs="Times New Roman"/>
          <w:lang w:val="en-GB"/>
        </w:rPr>
        <w:t xml:space="preserve">are </w:t>
      </w:r>
      <w:r w:rsidR="00C77C11" w:rsidRPr="000604BD">
        <w:rPr>
          <w:rFonts w:ascii="Garamond" w:hAnsi="Garamond" w:cs="Times New Roman"/>
          <w:lang w:val="en-GB"/>
        </w:rPr>
        <w:t xml:space="preserve">embedded in networks of ownership relationships with other firms within complex organizational forms. Yet, the International Business (IB) literature has </w:t>
      </w:r>
      <w:r w:rsidR="00D150C5" w:rsidRPr="000604BD">
        <w:rPr>
          <w:rFonts w:ascii="Garamond" w:hAnsi="Garamond" w:cs="Times New Roman"/>
          <w:lang w:val="en-GB"/>
        </w:rPr>
        <w:t xml:space="preserve">so far </w:t>
      </w:r>
      <w:r w:rsidR="00C77C11" w:rsidRPr="000604BD">
        <w:rPr>
          <w:rFonts w:ascii="Garamond" w:hAnsi="Garamond" w:cs="Times New Roman"/>
          <w:lang w:val="en-GB"/>
        </w:rPr>
        <w:t xml:space="preserve">studied the international expansion of emerging market firms </w:t>
      </w:r>
      <w:r w:rsidR="00657C72" w:rsidRPr="000604BD">
        <w:rPr>
          <w:rFonts w:ascii="Garamond" w:hAnsi="Garamond" w:cs="Times New Roman"/>
          <w:lang w:val="en-GB"/>
        </w:rPr>
        <w:t xml:space="preserve">mainly </w:t>
      </w:r>
      <w:r w:rsidR="00C77C11" w:rsidRPr="000604BD">
        <w:rPr>
          <w:rFonts w:ascii="Garamond" w:hAnsi="Garamond" w:cs="Times New Roman"/>
          <w:lang w:val="en-GB"/>
        </w:rPr>
        <w:t xml:space="preserve">by taking the single investing firms as a unit of analysis and very few </w:t>
      </w:r>
      <w:r w:rsidR="007C3A58" w:rsidRPr="000604BD">
        <w:rPr>
          <w:rFonts w:ascii="Garamond" w:hAnsi="Garamond" w:cs="Times New Roman"/>
          <w:lang w:val="en-GB"/>
        </w:rPr>
        <w:t xml:space="preserve">empirical </w:t>
      </w:r>
      <w:r w:rsidR="00C77C11" w:rsidRPr="000604BD">
        <w:rPr>
          <w:rFonts w:ascii="Garamond" w:hAnsi="Garamond" w:cs="Times New Roman"/>
          <w:lang w:val="en-GB"/>
        </w:rPr>
        <w:t>studies focus on the inte</w:t>
      </w:r>
      <w:r w:rsidR="00230B38">
        <w:rPr>
          <w:rFonts w:ascii="Garamond" w:hAnsi="Garamond" w:cs="Times New Roman"/>
          <w:lang w:val="en-GB"/>
        </w:rPr>
        <w:t>rnational expansion of BGs</w:t>
      </w:r>
      <w:r w:rsidR="00C77C11" w:rsidRPr="000604BD">
        <w:rPr>
          <w:rFonts w:ascii="Garamond" w:hAnsi="Garamond" w:cs="Times New Roman"/>
          <w:lang w:val="en-GB"/>
        </w:rPr>
        <w:t>.</w:t>
      </w:r>
    </w:p>
    <w:p w14:paraId="611724FA" w14:textId="77777777" w:rsidR="001F62ED" w:rsidRPr="000604BD" w:rsidRDefault="001F62ED" w:rsidP="00513249">
      <w:pPr>
        <w:pStyle w:val="ListParagraph"/>
        <w:spacing w:line="360" w:lineRule="auto"/>
        <w:ind w:left="0"/>
        <w:jc w:val="both"/>
        <w:rPr>
          <w:rFonts w:ascii="Garamond" w:hAnsi="Garamond" w:cs="Times New Roman"/>
          <w:lang w:val="en-GB"/>
        </w:rPr>
      </w:pPr>
    </w:p>
    <w:p w14:paraId="41F7968C" w14:textId="576695BA" w:rsidR="00A01885" w:rsidRPr="000604BD" w:rsidRDefault="00EF7495" w:rsidP="008B074C">
      <w:pPr>
        <w:pStyle w:val="ListParagraph"/>
        <w:spacing w:line="360" w:lineRule="auto"/>
        <w:ind w:left="0"/>
        <w:jc w:val="both"/>
        <w:rPr>
          <w:rFonts w:ascii="Garamond" w:hAnsi="Garamond" w:cs="Times New Roman"/>
          <w:lang w:val="en-GB"/>
        </w:rPr>
      </w:pPr>
      <w:r w:rsidRPr="000604BD">
        <w:rPr>
          <w:rFonts w:ascii="Garamond" w:hAnsi="Garamond" w:cs="Times New Roman"/>
          <w:lang w:val="en-GB"/>
        </w:rPr>
        <w:t>In this paper</w:t>
      </w:r>
      <w:r w:rsidR="00867823">
        <w:rPr>
          <w:rFonts w:ascii="Garamond" w:hAnsi="Garamond" w:cs="Times New Roman"/>
          <w:lang w:val="en-GB"/>
        </w:rPr>
        <w:t>,</w:t>
      </w:r>
      <w:r w:rsidRPr="000604BD">
        <w:rPr>
          <w:rFonts w:ascii="Garamond" w:hAnsi="Garamond" w:cs="Times New Roman"/>
          <w:lang w:val="en-GB"/>
        </w:rPr>
        <w:t xml:space="preserve"> we </w:t>
      </w:r>
      <w:r w:rsidR="00345FDD" w:rsidRPr="000604BD">
        <w:rPr>
          <w:rFonts w:ascii="Garamond" w:hAnsi="Garamond" w:cs="Times New Roman"/>
          <w:lang w:val="en-GB"/>
        </w:rPr>
        <w:t>analys</w:t>
      </w:r>
      <w:r w:rsidR="00737789" w:rsidRPr="000604BD">
        <w:rPr>
          <w:rFonts w:ascii="Garamond" w:hAnsi="Garamond" w:cs="Times New Roman"/>
          <w:lang w:val="en-GB"/>
        </w:rPr>
        <w:t>e</w:t>
      </w:r>
      <w:r w:rsidR="000A1AB2" w:rsidRPr="000604BD">
        <w:rPr>
          <w:rFonts w:ascii="Garamond" w:hAnsi="Garamond" w:cs="Times New Roman"/>
          <w:lang w:val="en-GB"/>
        </w:rPr>
        <w:t xml:space="preserve"> the international expansion strategies of BGs from the two largest emerging</w:t>
      </w:r>
      <w:r w:rsidR="00920205" w:rsidRPr="000604BD">
        <w:rPr>
          <w:rFonts w:ascii="Garamond" w:hAnsi="Garamond" w:cs="Times New Roman"/>
          <w:lang w:val="en-GB"/>
        </w:rPr>
        <w:t xml:space="preserve"> economies – China and India – in Europe, a major location for their foreign activit</w:t>
      </w:r>
      <w:r w:rsidR="009C3259" w:rsidRPr="000604BD">
        <w:rPr>
          <w:rFonts w:ascii="Garamond" w:hAnsi="Garamond" w:cs="Times New Roman"/>
          <w:lang w:val="en-GB"/>
        </w:rPr>
        <w:t>i</w:t>
      </w:r>
      <w:r w:rsidR="00920205" w:rsidRPr="000604BD">
        <w:rPr>
          <w:rFonts w:ascii="Garamond" w:hAnsi="Garamond" w:cs="Times New Roman"/>
          <w:lang w:val="en-GB"/>
        </w:rPr>
        <w:t xml:space="preserve">es outside </w:t>
      </w:r>
      <w:r w:rsidR="009C3259" w:rsidRPr="000604BD">
        <w:rPr>
          <w:rFonts w:ascii="Garamond" w:hAnsi="Garamond" w:cs="Times New Roman"/>
          <w:lang w:val="en-GB"/>
        </w:rPr>
        <w:t xml:space="preserve">of </w:t>
      </w:r>
      <w:r w:rsidR="00920205" w:rsidRPr="000604BD">
        <w:rPr>
          <w:rFonts w:ascii="Garamond" w:hAnsi="Garamond" w:cs="Times New Roman"/>
          <w:lang w:val="en-GB"/>
        </w:rPr>
        <w:t xml:space="preserve">Asia. </w:t>
      </w:r>
      <w:r w:rsidR="009C3259" w:rsidRPr="000604BD">
        <w:rPr>
          <w:rFonts w:ascii="Garamond" w:hAnsi="Garamond" w:cs="Times New Roman"/>
          <w:lang w:val="en-GB"/>
        </w:rPr>
        <w:t>Although multinational activity h</w:t>
      </w:r>
      <w:r w:rsidR="00230B38">
        <w:rPr>
          <w:rFonts w:ascii="Garamond" w:hAnsi="Garamond" w:cs="Times New Roman"/>
          <w:lang w:val="en-GB"/>
        </w:rPr>
        <w:t xml:space="preserve">as </w:t>
      </w:r>
      <w:r w:rsidR="00867823" w:rsidRPr="000604BD">
        <w:rPr>
          <w:rFonts w:ascii="Garamond" w:hAnsi="Garamond" w:cs="Times New Roman"/>
          <w:lang w:val="en-GB"/>
        </w:rPr>
        <w:t>usually</w:t>
      </w:r>
      <w:r w:rsidR="00867823">
        <w:rPr>
          <w:rFonts w:ascii="Garamond" w:hAnsi="Garamond" w:cs="Times New Roman"/>
          <w:lang w:val="en-GB"/>
        </w:rPr>
        <w:t xml:space="preserve"> </w:t>
      </w:r>
      <w:r w:rsidR="00230B38">
        <w:rPr>
          <w:rFonts w:ascii="Garamond" w:hAnsi="Garamond" w:cs="Times New Roman"/>
          <w:lang w:val="en-GB"/>
        </w:rPr>
        <w:t>a strong regional dimension</w:t>
      </w:r>
      <w:r w:rsidR="00002E4F">
        <w:rPr>
          <w:rFonts w:ascii="Garamond" w:hAnsi="Garamond" w:cs="Times New Roman"/>
          <w:lang w:val="en-GB"/>
        </w:rPr>
        <w:t xml:space="preserve">, and Asia has therefore </w:t>
      </w:r>
      <w:r w:rsidR="009C3259" w:rsidRPr="000604BD">
        <w:rPr>
          <w:rFonts w:ascii="Garamond" w:hAnsi="Garamond" w:cs="Times New Roman"/>
          <w:lang w:val="en-GB"/>
        </w:rPr>
        <w:t>been the top destination for the outward expansi</w:t>
      </w:r>
      <w:r w:rsidR="00230B38">
        <w:rPr>
          <w:rFonts w:ascii="Garamond" w:hAnsi="Garamond" w:cs="Times New Roman"/>
          <w:lang w:val="en-GB"/>
        </w:rPr>
        <w:t>on of Chinese and Indian firms</w:t>
      </w:r>
      <w:r w:rsidR="009C3259" w:rsidRPr="000604BD">
        <w:rPr>
          <w:rFonts w:ascii="Garamond" w:hAnsi="Garamond" w:cs="Times New Roman"/>
          <w:lang w:val="en-GB"/>
        </w:rPr>
        <w:t xml:space="preserve">, Europe has recently emerged as a favourite destination for the outward expansion of Chinese and Indian firms abroad (see Section 3). </w:t>
      </w:r>
      <w:r w:rsidR="00D733C1" w:rsidRPr="000604BD">
        <w:rPr>
          <w:rFonts w:ascii="Garamond" w:hAnsi="Garamond" w:cs="Times New Roman"/>
          <w:lang w:val="en-GB"/>
        </w:rPr>
        <w:t xml:space="preserve">As this phenomenon is gaining momentum, </w:t>
      </w:r>
      <w:r w:rsidR="004A5240" w:rsidRPr="000604BD">
        <w:rPr>
          <w:rFonts w:ascii="Garamond" w:hAnsi="Garamond" w:cs="Times New Roman"/>
          <w:lang w:val="en-GB"/>
        </w:rPr>
        <w:t xml:space="preserve">a comprehensive analysis of the foreign activities of Chinese and Indian BGs in Europe is </w:t>
      </w:r>
      <w:r w:rsidR="00A669FE">
        <w:rPr>
          <w:rFonts w:ascii="Garamond" w:hAnsi="Garamond" w:cs="Times New Roman"/>
          <w:lang w:val="en-GB"/>
        </w:rPr>
        <w:t>needed</w:t>
      </w:r>
      <w:r w:rsidR="004A5240" w:rsidRPr="000604BD">
        <w:rPr>
          <w:rFonts w:ascii="Garamond" w:hAnsi="Garamond" w:cs="Times New Roman"/>
          <w:lang w:val="en-GB"/>
        </w:rPr>
        <w:t xml:space="preserve"> to better understand</w:t>
      </w:r>
      <w:r w:rsidR="00D733C1" w:rsidRPr="000604BD">
        <w:rPr>
          <w:rFonts w:ascii="Garamond" w:hAnsi="Garamond" w:cs="Times New Roman"/>
          <w:lang w:val="en-GB"/>
        </w:rPr>
        <w:t xml:space="preserve"> both the corporate strategies of EMNEs from China and India, and the role of Europe </w:t>
      </w:r>
      <w:r w:rsidR="007C3A58" w:rsidRPr="000604BD">
        <w:rPr>
          <w:rFonts w:ascii="Garamond" w:hAnsi="Garamond" w:cs="Times New Roman"/>
          <w:lang w:val="en-GB"/>
        </w:rPr>
        <w:t>as a favourite foreign location with</w:t>
      </w:r>
      <w:r w:rsidR="00D733C1" w:rsidRPr="000604BD">
        <w:rPr>
          <w:rFonts w:ascii="Garamond" w:hAnsi="Garamond" w:cs="Times New Roman"/>
          <w:lang w:val="en-GB"/>
        </w:rPr>
        <w:t>in their overall diversification strategies.</w:t>
      </w:r>
    </w:p>
    <w:p w14:paraId="78F00702" w14:textId="77777777" w:rsidR="00A01885" w:rsidRPr="000604BD" w:rsidRDefault="00A01885" w:rsidP="008B074C">
      <w:pPr>
        <w:pStyle w:val="ListParagraph"/>
        <w:spacing w:line="360" w:lineRule="auto"/>
        <w:ind w:left="0"/>
        <w:jc w:val="both"/>
        <w:rPr>
          <w:rFonts w:ascii="Garamond" w:hAnsi="Garamond" w:cs="Times New Roman"/>
          <w:lang w:val="en-GB"/>
        </w:rPr>
      </w:pPr>
    </w:p>
    <w:p w14:paraId="4AF168F5" w14:textId="13640165" w:rsidR="008B074C" w:rsidRDefault="00920205" w:rsidP="008B074C">
      <w:pPr>
        <w:pStyle w:val="ListParagraph"/>
        <w:spacing w:line="360" w:lineRule="auto"/>
        <w:ind w:left="0"/>
        <w:jc w:val="both"/>
        <w:rPr>
          <w:rFonts w:ascii="Garamond" w:hAnsi="Garamond" w:cs="Times New Roman"/>
          <w:lang w:val="en-GB"/>
        </w:rPr>
      </w:pPr>
      <w:r w:rsidRPr="000604BD">
        <w:rPr>
          <w:rFonts w:ascii="Garamond" w:hAnsi="Garamond" w:cs="Times New Roman"/>
          <w:lang w:val="en-GB"/>
        </w:rPr>
        <w:t>We</w:t>
      </w:r>
      <w:r w:rsidR="000A1AB2" w:rsidRPr="000604BD">
        <w:rPr>
          <w:rFonts w:ascii="Garamond" w:hAnsi="Garamond" w:cs="Times New Roman"/>
          <w:lang w:val="en-GB"/>
        </w:rPr>
        <w:t xml:space="preserve"> rely on a </w:t>
      </w:r>
      <w:r w:rsidR="00EF7495" w:rsidRPr="000604BD">
        <w:rPr>
          <w:rFonts w:ascii="Garamond" w:hAnsi="Garamond" w:cs="Times New Roman"/>
          <w:lang w:val="en-GB"/>
        </w:rPr>
        <w:t xml:space="preserve">novel database – the </w:t>
      </w:r>
      <w:r w:rsidR="00EF7495" w:rsidRPr="000604BD">
        <w:rPr>
          <w:rFonts w:ascii="Garamond" w:hAnsi="Garamond" w:cs="Times New Roman"/>
          <w:i/>
          <w:lang w:val="en-GB"/>
        </w:rPr>
        <w:t>Emerging Multin</w:t>
      </w:r>
      <w:r w:rsidR="00867823">
        <w:rPr>
          <w:rFonts w:ascii="Garamond" w:hAnsi="Garamond" w:cs="Times New Roman"/>
          <w:i/>
          <w:lang w:val="en-GB"/>
        </w:rPr>
        <w:t>ationals’ Events and Networks Data</w:t>
      </w:r>
      <w:r w:rsidR="00EF7495" w:rsidRPr="000604BD">
        <w:rPr>
          <w:rFonts w:ascii="Garamond" w:hAnsi="Garamond" w:cs="Times New Roman"/>
          <w:i/>
          <w:lang w:val="en-GB"/>
        </w:rPr>
        <w:t>base</w:t>
      </w:r>
      <w:r w:rsidR="00EF7495" w:rsidRPr="000604BD">
        <w:rPr>
          <w:rFonts w:ascii="Garamond" w:hAnsi="Garamond" w:cs="Times New Roman"/>
          <w:lang w:val="en-GB"/>
        </w:rPr>
        <w:t xml:space="preserve"> (</w:t>
      </w:r>
      <w:r w:rsidRPr="000604BD">
        <w:rPr>
          <w:rFonts w:ascii="Garamond" w:hAnsi="Garamond" w:cs="Times New Roman"/>
          <w:lang w:val="en-GB"/>
        </w:rPr>
        <w:t>EMENDATA) –</w:t>
      </w:r>
      <w:r w:rsidR="00EF7495" w:rsidRPr="000604BD">
        <w:rPr>
          <w:rFonts w:ascii="Garamond" w:hAnsi="Garamond" w:cs="Times New Roman"/>
          <w:lang w:val="en-GB"/>
        </w:rPr>
        <w:t xml:space="preserve"> which includes greenfield investments, M&amp;A, and other min</w:t>
      </w:r>
      <w:r w:rsidR="00345FDD" w:rsidRPr="000604BD">
        <w:rPr>
          <w:rFonts w:ascii="Garamond" w:hAnsi="Garamond" w:cs="Times New Roman"/>
          <w:lang w:val="en-GB"/>
        </w:rPr>
        <w:t>ori</w:t>
      </w:r>
      <w:r w:rsidR="00867823">
        <w:rPr>
          <w:rFonts w:ascii="Garamond" w:hAnsi="Garamond" w:cs="Times New Roman"/>
          <w:lang w:val="en-GB"/>
        </w:rPr>
        <w:t>ty investments. The data consist of</w:t>
      </w:r>
      <w:r w:rsidR="00A669FE">
        <w:rPr>
          <w:rFonts w:ascii="Garamond" w:hAnsi="Garamond" w:cs="Times New Roman"/>
          <w:lang w:val="en-GB"/>
        </w:rPr>
        <w:t xml:space="preserve"> </w:t>
      </w:r>
      <w:r w:rsidR="00EF7495" w:rsidRPr="000604BD">
        <w:rPr>
          <w:rFonts w:ascii="Garamond" w:hAnsi="Garamond" w:cs="Times New Roman"/>
          <w:lang w:val="en-GB"/>
        </w:rPr>
        <w:t xml:space="preserve">company information gathered from different sources </w:t>
      </w:r>
      <w:r w:rsidR="00D150C5" w:rsidRPr="000604BD">
        <w:rPr>
          <w:rFonts w:ascii="Garamond" w:hAnsi="Garamond" w:cs="Times New Roman"/>
          <w:lang w:val="en-GB"/>
        </w:rPr>
        <w:t xml:space="preserve">– the world best available data sources on multinational activities – </w:t>
      </w:r>
      <w:r w:rsidR="00EF7495" w:rsidRPr="000604BD">
        <w:rPr>
          <w:rFonts w:ascii="Garamond" w:hAnsi="Garamond" w:cs="Times New Roman"/>
          <w:lang w:val="en-GB"/>
        </w:rPr>
        <w:t xml:space="preserve">such as the Financial Times Group’s fDImarkets, Bureau van Dijk’s (BvD) Zephyr, and Thomson Reuter’s SDC Platinum. </w:t>
      </w:r>
      <w:r w:rsidR="00737789" w:rsidRPr="000604BD">
        <w:rPr>
          <w:rFonts w:ascii="Garamond" w:hAnsi="Garamond" w:cs="Times New Roman"/>
          <w:lang w:val="en-GB"/>
        </w:rPr>
        <w:t>E</w:t>
      </w:r>
      <w:r w:rsidR="00EF7495" w:rsidRPr="000604BD">
        <w:rPr>
          <w:rFonts w:ascii="Garamond" w:hAnsi="Garamond" w:cs="Times New Roman"/>
          <w:lang w:val="en-GB"/>
        </w:rPr>
        <w:t xml:space="preserve">ach cross-border deal </w:t>
      </w:r>
      <w:r w:rsidR="00737789" w:rsidRPr="000604BD">
        <w:rPr>
          <w:rFonts w:ascii="Garamond" w:hAnsi="Garamond" w:cs="Times New Roman"/>
          <w:lang w:val="en-GB"/>
        </w:rPr>
        <w:t xml:space="preserve">in EMENDATA </w:t>
      </w:r>
      <w:r w:rsidR="00EF7495" w:rsidRPr="000604BD">
        <w:rPr>
          <w:rFonts w:ascii="Garamond" w:hAnsi="Garamond" w:cs="Times New Roman"/>
          <w:lang w:val="en-GB"/>
        </w:rPr>
        <w:t xml:space="preserve">is associated with </w:t>
      </w:r>
      <w:r w:rsidR="00737789" w:rsidRPr="000604BD">
        <w:rPr>
          <w:rFonts w:ascii="Garamond" w:hAnsi="Garamond" w:cs="Times New Roman"/>
          <w:lang w:val="en-GB"/>
        </w:rPr>
        <w:t xml:space="preserve">company </w:t>
      </w:r>
      <w:r w:rsidR="00EF7495" w:rsidRPr="000604BD">
        <w:rPr>
          <w:rFonts w:ascii="Garamond" w:hAnsi="Garamond" w:cs="Times New Roman"/>
          <w:lang w:val="en-GB"/>
        </w:rPr>
        <w:t xml:space="preserve">information available in BvD’s Orbis, on </w:t>
      </w:r>
      <w:r w:rsidR="00737789" w:rsidRPr="000604BD">
        <w:rPr>
          <w:rFonts w:ascii="Garamond" w:hAnsi="Garamond" w:cs="Times New Roman"/>
          <w:lang w:val="en-GB"/>
        </w:rPr>
        <w:t xml:space="preserve">both </w:t>
      </w:r>
      <w:r w:rsidR="00EF7495" w:rsidRPr="000604BD">
        <w:rPr>
          <w:rFonts w:ascii="Garamond" w:hAnsi="Garamond" w:cs="Times New Roman"/>
          <w:lang w:val="en-GB"/>
        </w:rPr>
        <w:t xml:space="preserve">the investing company and the group the firm belongs </w:t>
      </w:r>
      <w:r w:rsidR="00D150C5" w:rsidRPr="000604BD">
        <w:rPr>
          <w:rFonts w:ascii="Garamond" w:hAnsi="Garamond" w:cs="Times New Roman"/>
          <w:lang w:val="en-GB"/>
        </w:rPr>
        <w:t xml:space="preserve">to, </w:t>
      </w:r>
      <w:r w:rsidR="00EF7495" w:rsidRPr="000604BD">
        <w:rPr>
          <w:rFonts w:ascii="Garamond" w:hAnsi="Garamond" w:cs="Times New Roman"/>
          <w:lang w:val="en-GB"/>
        </w:rPr>
        <w:t>based on its Global Ultimate Owner (GUO)</w:t>
      </w:r>
      <w:r w:rsidR="000A1AB2" w:rsidRPr="000604BD">
        <w:rPr>
          <w:rFonts w:ascii="Garamond" w:hAnsi="Garamond" w:cs="Times New Roman"/>
          <w:lang w:val="en-GB"/>
        </w:rPr>
        <w:t xml:space="preserve"> (</w:t>
      </w:r>
      <w:r w:rsidR="00B66D60" w:rsidRPr="000604BD">
        <w:rPr>
          <w:rFonts w:ascii="Garamond" w:hAnsi="Garamond" w:cs="Times New Roman"/>
          <w:lang w:val="en-GB"/>
        </w:rPr>
        <w:t xml:space="preserve">for a detailed description of EMENDATA, see </w:t>
      </w:r>
      <w:r w:rsidR="000A1AB2" w:rsidRPr="000604BD">
        <w:rPr>
          <w:rFonts w:ascii="Garamond" w:hAnsi="Garamond" w:cs="Times New Roman"/>
          <w:lang w:val="en-GB"/>
        </w:rPr>
        <w:t xml:space="preserve">Amighini et al, </w:t>
      </w:r>
      <w:r w:rsidR="008B074C" w:rsidRPr="000604BD">
        <w:rPr>
          <w:rFonts w:ascii="Garamond" w:hAnsi="Garamond" w:cs="Times New Roman"/>
          <w:lang w:val="en-GB"/>
        </w:rPr>
        <w:t xml:space="preserve">forthcoming </w:t>
      </w:r>
      <w:r w:rsidR="00867823">
        <w:rPr>
          <w:rFonts w:ascii="Garamond" w:hAnsi="Garamond" w:cs="Times New Roman"/>
          <w:lang w:val="en-GB"/>
        </w:rPr>
        <w:t>(</w:t>
      </w:r>
      <w:r w:rsidR="00D150C5" w:rsidRPr="000604BD">
        <w:rPr>
          <w:rFonts w:ascii="Garamond" w:hAnsi="Garamond" w:cs="Times New Roman"/>
          <w:lang w:val="en-GB"/>
        </w:rPr>
        <w:t>b</w:t>
      </w:r>
      <w:r w:rsidR="00867823">
        <w:rPr>
          <w:rFonts w:ascii="Garamond" w:hAnsi="Garamond" w:cs="Times New Roman"/>
          <w:lang w:val="en-GB"/>
        </w:rPr>
        <w:t>)</w:t>
      </w:r>
      <w:r w:rsidR="00B66D60" w:rsidRPr="000604BD">
        <w:rPr>
          <w:rFonts w:ascii="Garamond" w:hAnsi="Garamond" w:cs="Times New Roman"/>
          <w:lang w:val="en-GB"/>
        </w:rPr>
        <w:t>).</w:t>
      </w:r>
      <w:r w:rsidR="00EF7495" w:rsidRPr="000604BD">
        <w:rPr>
          <w:rFonts w:ascii="Garamond" w:hAnsi="Garamond" w:cs="Times New Roman"/>
          <w:lang w:val="en-GB"/>
        </w:rPr>
        <w:t xml:space="preserve"> </w:t>
      </w:r>
    </w:p>
    <w:p w14:paraId="37CA41B7" w14:textId="77777777" w:rsidR="00867823" w:rsidRPr="000604BD" w:rsidRDefault="00867823" w:rsidP="008B074C">
      <w:pPr>
        <w:pStyle w:val="ListParagraph"/>
        <w:spacing w:line="360" w:lineRule="auto"/>
        <w:ind w:left="0"/>
        <w:jc w:val="both"/>
        <w:rPr>
          <w:rFonts w:ascii="Garamond" w:hAnsi="Garamond" w:cs="Times New Roman"/>
          <w:lang w:val="en-GB"/>
        </w:rPr>
      </w:pPr>
    </w:p>
    <w:p w14:paraId="69BE7AA1" w14:textId="44131AC4" w:rsidR="00A669FE" w:rsidRDefault="00867823" w:rsidP="00AA1209">
      <w:pPr>
        <w:autoSpaceDE w:val="0"/>
        <w:autoSpaceDN w:val="0"/>
        <w:adjustRightInd w:val="0"/>
        <w:spacing w:after="0" w:line="360" w:lineRule="auto"/>
        <w:jc w:val="both"/>
        <w:rPr>
          <w:rFonts w:ascii="Garamond" w:hAnsi="Garamond" w:cs="Times New Roman"/>
          <w:lang w:val="en-GB"/>
        </w:rPr>
      </w:pPr>
      <w:r>
        <w:rPr>
          <w:rFonts w:ascii="Garamond" w:hAnsi="Garamond" w:cs="Times New Roman"/>
          <w:lang w:val="en-GB"/>
        </w:rPr>
        <w:lastRenderedPageBreak/>
        <w:t>This</w:t>
      </w:r>
      <w:r w:rsidR="008B074C" w:rsidRPr="000604BD">
        <w:rPr>
          <w:rFonts w:ascii="Garamond" w:hAnsi="Garamond" w:cs="Times New Roman"/>
          <w:lang w:val="en-GB"/>
        </w:rPr>
        <w:t xml:space="preserve"> paper </w:t>
      </w:r>
      <w:r w:rsidR="00476F0A" w:rsidRPr="000604BD">
        <w:rPr>
          <w:rFonts w:ascii="Garamond" w:hAnsi="Garamond" w:cs="Times New Roman"/>
          <w:lang w:val="en-GB"/>
        </w:rPr>
        <w:t xml:space="preserve">draws upon and </w:t>
      </w:r>
      <w:r w:rsidR="008B074C" w:rsidRPr="000604BD">
        <w:rPr>
          <w:rFonts w:ascii="Garamond" w:hAnsi="Garamond" w:cs="Times New Roman"/>
          <w:lang w:val="en-GB"/>
        </w:rPr>
        <w:t xml:space="preserve">bridges across two </w:t>
      </w:r>
      <w:r w:rsidR="00476F0A" w:rsidRPr="000604BD">
        <w:rPr>
          <w:rFonts w:ascii="Garamond" w:hAnsi="Garamond" w:cs="Times New Roman"/>
          <w:lang w:val="en-GB"/>
        </w:rPr>
        <w:t>different strands of literature. On the one hand,</w:t>
      </w:r>
      <w:r w:rsidR="008B074C" w:rsidRPr="000604BD">
        <w:rPr>
          <w:rFonts w:ascii="Garamond" w:hAnsi="Garamond" w:cs="Times New Roman"/>
          <w:lang w:val="en-GB"/>
        </w:rPr>
        <w:t xml:space="preserve"> the </w:t>
      </w:r>
      <w:r w:rsidR="002C4D66">
        <w:rPr>
          <w:rFonts w:ascii="Garamond" w:hAnsi="Garamond" w:cs="Times New Roman"/>
          <w:lang w:val="en-GB"/>
        </w:rPr>
        <w:t xml:space="preserve">growing </w:t>
      </w:r>
      <w:r w:rsidR="00476F0A" w:rsidRPr="000604BD">
        <w:rPr>
          <w:rFonts w:ascii="Garamond" w:hAnsi="Garamond" w:cs="Times New Roman"/>
          <w:lang w:val="en-GB"/>
        </w:rPr>
        <w:t xml:space="preserve">IB </w:t>
      </w:r>
      <w:r w:rsidR="008B074C" w:rsidRPr="000604BD">
        <w:rPr>
          <w:rFonts w:ascii="Garamond" w:hAnsi="Garamond" w:cs="Times New Roman"/>
          <w:lang w:val="en-GB"/>
        </w:rPr>
        <w:t xml:space="preserve">literature on the rise of EMNEs, which </w:t>
      </w:r>
      <w:r w:rsidR="00345FDD" w:rsidRPr="000604BD">
        <w:rPr>
          <w:rFonts w:ascii="Garamond" w:hAnsi="Garamond" w:cs="Times New Roman"/>
          <w:lang w:val="en-GB"/>
        </w:rPr>
        <w:t xml:space="preserve">mainly adopts the single investing firm as a unit of analysis and </w:t>
      </w:r>
      <w:r w:rsidR="008B074C" w:rsidRPr="000604BD">
        <w:rPr>
          <w:rFonts w:ascii="Garamond" w:hAnsi="Garamond" w:cs="Times New Roman"/>
          <w:lang w:val="en-GB"/>
        </w:rPr>
        <w:t xml:space="preserve">largely </w:t>
      </w:r>
      <w:r w:rsidR="00345FDD" w:rsidRPr="000604BD">
        <w:rPr>
          <w:rFonts w:ascii="Garamond" w:hAnsi="Garamond" w:cs="Times New Roman"/>
          <w:lang w:val="en-GB"/>
        </w:rPr>
        <w:t>overlooks</w:t>
      </w:r>
      <w:r w:rsidR="008B074C" w:rsidRPr="000604BD">
        <w:rPr>
          <w:rFonts w:ascii="Garamond" w:hAnsi="Garamond" w:cs="Times New Roman"/>
          <w:lang w:val="en-GB"/>
        </w:rPr>
        <w:t xml:space="preserve"> the fact that invest</w:t>
      </w:r>
      <w:r w:rsidR="00A669FE">
        <w:rPr>
          <w:rFonts w:ascii="Garamond" w:hAnsi="Garamond" w:cs="Times New Roman"/>
          <w:lang w:val="en-GB"/>
        </w:rPr>
        <w:t>ors from emerging economies often</w:t>
      </w:r>
      <w:r w:rsidR="008B074C" w:rsidRPr="000604BD">
        <w:rPr>
          <w:rFonts w:ascii="Garamond" w:hAnsi="Garamond" w:cs="Times New Roman"/>
          <w:lang w:val="en-GB"/>
        </w:rPr>
        <w:t xml:space="preserve"> belong to BGs</w:t>
      </w:r>
      <w:r w:rsidR="00476F0A" w:rsidRPr="000604BD">
        <w:rPr>
          <w:rFonts w:ascii="Garamond" w:hAnsi="Garamond" w:cs="Times New Roman"/>
          <w:lang w:val="en-GB"/>
        </w:rPr>
        <w:t xml:space="preserve">. </w:t>
      </w:r>
      <w:r w:rsidR="001F2013">
        <w:rPr>
          <w:rFonts w:ascii="Garamond" w:hAnsi="Garamond" w:cs="Times New Roman"/>
          <w:lang w:val="en-GB"/>
        </w:rPr>
        <w:t xml:space="preserve">In particular, </w:t>
      </w:r>
      <w:r w:rsidR="00AA1209">
        <w:rPr>
          <w:rFonts w:ascii="Garamond" w:hAnsi="Garamond" w:cs="Times New Roman"/>
          <w:lang w:val="en-GB"/>
        </w:rPr>
        <w:t xml:space="preserve">BGs are important contributors to outward FDI from many economies, such as China, where BGs accounted for 74% of China’s total outward FDI and 90% of the top 40 multinationals (in terms of outward FDI stock) are group-affiliated firms (Yiu, 2011). </w:t>
      </w:r>
      <w:r w:rsidR="00476F0A" w:rsidRPr="000604BD">
        <w:rPr>
          <w:rFonts w:ascii="Garamond" w:hAnsi="Garamond" w:cs="Times New Roman"/>
          <w:lang w:val="en-GB"/>
        </w:rPr>
        <w:t>On the other hand,</w:t>
      </w:r>
      <w:r w:rsidR="008B074C" w:rsidRPr="000604BD">
        <w:rPr>
          <w:rFonts w:ascii="Garamond" w:hAnsi="Garamond" w:cs="Times New Roman"/>
          <w:lang w:val="en-GB"/>
        </w:rPr>
        <w:t xml:space="preserve"> the </w:t>
      </w:r>
      <w:r w:rsidR="002C4D66">
        <w:rPr>
          <w:rFonts w:ascii="Garamond" w:hAnsi="Garamond" w:cs="Times New Roman"/>
          <w:lang w:val="en-GB"/>
        </w:rPr>
        <w:t xml:space="preserve">extensive </w:t>
      </w:r>
      <w:r w:rsidR="008B074C" w:rsidRPr="000604BD">
        <w:rPr>
          <w:rFonts w:ascii="Garamond" w:hAnsi="Garamond" w:cs="Times New Roman"/>
          <w:lang w:val="en-GB"/>
        </w:rPr>
        <w:t xml:space="preserve">literature on BGs from emerging countries, which </w:t>
      </w:r>
      <w:r w:rsidR="002C4D66">
        <w:rPr>
          <w:rFonts w:ascii="Garamond" w:hAnsi="Garamond" w:cs="Times New Roman"/>
          <w:lang w:val="en-GB"/>
        </w:rPr>
        <w:t xml:space="preserve">has </w:t>
      </w:r>
      <w:r w:rsidR="008B074C" w:rsidRPr="000604BD">
        <w:rPr>
          <w:rFonts w:ascii="Garamond" w:hAnsi="Garamond" w:cs="Times New Roman"/>
          <w:lang w:val="en-GB"/>
        </w:rPr>
        <w:t>m</w:t>
      </w:r>
      <w:r w:rsidR="00345FDD" w:rsidRPr="000604BD">
        <w:rPr>
          <w:rFonts w:ascii="Garamond" w:hAnsi="Garamond" w:cs="Times New Roman"/>
          <w:lang w:val="en-GB"/>
        </w:rPr>
        <w:t>ainl</w:t>
      </w:r>
      <w:r w:rsidR="008B074C" w:rsidRPr="000604BD">
        <w:rPr>
          <w:rFonts w:ascii="Garamond" w:hAnsi="Garamond" w:cs="Times New Roman"/>
          <w:lang w:val="en-GB"/>
        </w:rPr>
        <w:t>y</w:t>
      </w:r>
      <w:r w:rsidR="00345FDD" w:rsidRPr="000604BD">
        <w:rPr>
          <w:rFonts w:ascii="Garamond" w:hAnsi="Garamond" w:cs="Times New Roman"/>
          <w:lang w:val="en-GB"/>
        </w:rPr>
        <w:t xml:space="preserve"> focuse</w:t>
      </w:r>
      <w:r w:rsidR="002C4D66">
        <w:rPr>
          <w:rFonts w:ascii="Garamond" w:hAnsi="Garamond" w:cs="Times New Roman"/>
          <w:lang w:val="en-GB"/>
        </w:rPr>
        <w:t xml:space="preserve">d </w:t>
      </w:r>
      <w:r w:rsidR="00345FDD" w:rsidRPr="000604BD">
        <w:rPr>
          <w:rFonts w:ascii="Garamond" w:hAnsi="Garamond" w:cs="Times New Roman"/>
          <w:lang w:val="en-GB"/>
        </w:rPr>
        <w:t xml:space="preserve">on issues such as the formation and rise of BGs, their performance and ownership structure, </w:t>
      </w:r>
      <w:r w:rsidR="002C4D66">
        <w:rPr>
          <w:rFonts w:ascii="Garamond" w:hAnsi="Garamond" w:cs="Times New Roman"/>
          <w:lang w:val="en-GB"/>
        </w:rPr>
        <w:t>their social (beyond the economic) significance, the</w:t>
      </w:r>
      <w:r w:rsidR="00E0723D">
        <w:rPr>
          <w:rFonts w:ascii="Garamond" w:hAnsi="Garamond" w:cs="Times New Roman"/>
          <w:lang w:val="en-GB"/>
        </w:rPr>
        <w:t>ir</w:t>
      </w:r>
      <w:r w:rsidR="002C4D66">
        <w:rPr>
          <w:rFonts w:ascii="Garamond" w:hAnsi="Garamond" w:cs="Times New Roman"/>
          <w:lang w:val="en-GB"/>
        </w:rPr>
        <w:t xml:space="preserve"> political and institutional embeddedness, </w:t>
      </w:r>
      <w:r w:rsidR="00345FDD" w:rsidRPr="000604BD">
        <w:rPr>
          <w:rFonts w:ascii="Garamond" w:hAnsi="Garamond" w:cs="Times New Roman"/>
          <w:lang w:val="en-GB"/>
        </w:rPr>
        <w:t xml:space="preserve">but has so far </w:t>
      </w:r>
      <w:r w:rsidR="002C4D66">
        <w:rPr>
          <w:rFonts w:ascii="Garamond" w:hAnsi="Garamond" w:cs="Times New Roman"/>
          <w:lang w:val="en-GB"/>
        </w:rPr>
        <w:t>left a number of interesting issues largely un</w:t>
      </w:r>
      <w:r w:rsidR="00476F0A" w:rsidRPr="000604BD">
        <w:rPr>
          <w:rFonts w:ascii="Garamond" w:hAnsi="Garamond" w:cs="Times New Roman"/>
          <w:lang w:val="en-GB"/>
        </w:rPr>
        <w:t>e</w:t>
      </w:r>
      <w:r w:rsidR="002C4D66">
        <w:rPr>
          <w:rFonts w:ascii="Garamond" w:hAnsi="Garamond" w:cs="Times New Roman"/>
          <w:lang w:val="en-GB"/>
        </w:rPr>
        <w:t xml:space="preserve">xplored, including </w:t>
      </w:r>
      <w:r w:rsidR="00345FDD" w:rsidRPr="000604BD">
        <w:rPr>
          <w:rFonts w:ascii="Garamond" w:hAnsi="Garamond" w:cs="Times New Roman"/>
          <w:lang w:val="en-GB"/>
        </w:rPr>
        <w:t>t</w:t>
      </w:r>
      <w:r w:rsidR="008B074C" w:rsidRPr="000604BD">
        <w:rPr>
          <w:rFonts w:ascii="Garamond" w:hAnsi="Garamond" w:cs="Times New Roman"/>
          <w:lang w:val="en-GB"/>
        </w:rPr>
        <w:t xml:space="preserve">he </w:t>
      </w:r>
      <w:r w:rsidR="00E0723D">
        <w:rPr>
          <w:rFonts w:ascii="Garamond" w:hAnsi="Garamond" w:cs="Times New Roman"/>
          <w:lang w:val="en-GB"/>
        </w:rPr>
        <w:t xml:space="preserve">study of the </w:t>
      </w:r>
      <w:r w:rsidR="00345FDD" w:rsidRPr="000604BD">
        <w:rPr>
          <w:rFonts w:ascii="Garamond" w:hAnsi="Garamond" w:cs="Times New Roman"/>
          <w:lang w:val="en-GB"/>
        </w:rPr>
        <w:t xml:space="preserve">international </w:t>
      </w:r>
      <w:r w:rsidR="008B074C" w:rsidRPr="000604BD">
        <w:rPr>
          <w:rFonts w:ascii="Garamond" w:hAnsi="Garamond" w:cs="Times New Roman"/>
          <w:lang w:val="en-GB"/>
        </w:rPr>
        <w:t xml:space="preserve">evolution of </w:t>
      </w:r>
      <w:r w:rsidR="00345FDD" w:rsidRPr="000604BD">
        <w:rPr>
          <w:rFonts w:ascii="Garamond" w:hAnsi="Garamond" w:cs="Times New Roman"/>
          <w:lang w:val="en-GB"/>
        </w:rPr>
        <w:t>BGs</w:t>
      </w:r>
      <w:r w:rsidR="00B66D60" w:rsidRPr="000604BD">
        <w:rPr>
          <w:rFonts w:ascii="Garamond" w:hAnsi="Garamond" w:cs="Times New Roman"/>
          <w:lang w:val="en-GB"/>
        </w:rPr>
        <w:t xml:space="preserve"> through their </w:t>
      </w:r>
      <w:r w:rsidR="00345FDD" w:rsidRPr="000604BD">
        <w:rPr>
          <w:rFonts w:ascii="Garamond" w:hAnsi="Garamond" w:cs="Times New Roman"/>
          <w:lang w:val="en-GB"/>
        </w:rPr>
        <w:t>foreign investment</w:t>
      </w:r>
      <w:r w:rsidR="00B66D60" w:rsidRPr="000604BD">
        <w:rPr>
          <w:rFonts w:ascii="Garamond" w:hAnsi="Garamond" w:cs="Times New Roman"/>
          <w:lang w:val="en-GB"/>
        </w:rPr>
        <w:t xml:space="preserve"> activities</w:t>
      </w:r>
      <w:r w:rsidR="00476F0A" w:rsidRPr="000604BD">
        <w:rPr>
          <w:rFonts w:ascii="Garamond" w:hAnsi="Garamond" w:cs="Times New Roman"/>
          <w:lang w:val="en-GB"/>
        </w:rPr>
        <w:t xml:space="preserve"> in comprehensive and comparative ways</w:t>
      </w:r>
      <w:r w:rsidR="00B66D60" w:rsidRPr="000604BD">
        <w:rPr>
          <w:rFonts w:ascii="Garamond" w:hAnsi="Garamond" w:cs="Times New Roman"/>
          <w:lang w:val="en-GB"/>
        </w:rPr>
        <w:t xml:space="preserve">. </w:t>
      </w:r>
    </w:p>
    <w:p w14:paraId="22DF11B2" w14:textId="77777777" w:rsidR="00A669FE" w:rsidRDefault="00A669FE" w:rsidP="008B074C">
      <w:pPr>
        <w:pStyle w:val="ListParagraph"/>
        <w:spacing w:line="360" w:lineRule="auto"/>
        <w:ind w:left="0"/>
        <w:jc w:val="both"/>
        <w:rPr>
          <w:rFonts w:ascii="Garamond" w:hAnsi="Garamond" w:cs="Times New Roman"/>
          <w:lang w:val="en-GB"/>
        </w:rPr>
      </w:pPr>
    </w:p>
    <w:p w14:paraId="0353CBF4" w14:textId="4B73570B" w:rsidR="003473A7" w:rsidRPr="000604BD" w:rsidRDefault="00345FDD" w:rsidP="008B074C">
      <w:pPr>
        <w:pStyle w:val="ListParagraph"/>
        <w:spacing w:line="360" w:lineRule="auto"/>
        <w:ind w:left="0"/>
        <w:jc w:val="both"/>
        <w:rPr>
          <w:rFonts w:ascii="Garamond" w:hAnsi="Garamond" w:cs="Times New Roman"/>
          <w:lang w:val="en-GB"/>
        </w:rPr>
      </w:pPr>
      <w:r w:rsidRPr="000604BD">
        <w:rPr>
          <w:rFonts w:ascii="Garamond" w:hAnsi="Garamond" w:cs="Times New Roman"/>
          <w:lang w:val="en-GB"/>
        </w:rPr>
        <w:t>The paper</w:t>
      </w:r>
      <w:r w:rsidR="0069245C" w:rsidRPr="000604BD">
        <w:rPr>
          <w:rFonts w:ascii="Garamond" w:hAnsi="Garamond" w:cs="Times New Roman"/>
          <w:lang w:val="en-GB"/>
        </w:rPr>
        <w:t xml:space="preserve"> contributes to </w:t>
      </w:r>
      <w:r w:rsidR="00920205" w:rsidRPr="000604BD">
        <w:rPr>
          <w:rFonts w:ascii="Garamond" w:hAnsi="Garamond" w:cs="Times New Roman"/>
          <w:lang w:val="en-GB"/>
        </w:rPr>
        <w:t>the understanding of Chinese and Indian EM</w:t>
      </w:r>
      <w:r w:rsidR="00993146" w:rsidRPr="000604BD">
        <w:rPr>
          <w:rFonts w:ascii="Garamond" w:hAnsi="Garamond" w:cs="Times New Roman"/>
          <w:lang w:val="en-GB"/>
        </w:rPr>
        <w:t>N</w:t>
      </w:r>
      <w:r w:rsidR="00920205" w:rsidRPr="000604BD">
        <w:rPr>
          <w:rFonts w:ascii="Garamond" w:hAnsi="Garamond" w:cs="Times New Roman"/>
          <w:lang w:val="en-GB"/>
        </w:rPr>
        <w:t xml:space="preserve">Es in </w:t>
      </w:r>
      <w:r w:rsidR="006B535C" w:rsidRPr="000604BD">
        <w:rPr>
          <w:rFonts w:ascii="Garamond" w:hAnsi="Garamond" w:cs="Times New Roman"/>
          <w:lang w:val="en-GB"/>
        </w:rPr>
        <w:t>two</w:t>
      </w:r>
      <w:r w:rsidR="00920205" w:rsidRPr="000604BD">
        <w:rPr>
          <w:rFonts w:ascii="Garamond" w:hAnsi="Garamond" w:cs="Times New Roman"/>
          <w:lang w:val="en-GB"/>
        </w:rPr>
        <w:t xml:space="preserve"> ways. First, </w:t>
      </w:r>
      <w:r w:rsidR="008C6892" w:rsidRPr="000604BD">
        <w:rPr>
          <w:rFonts w:ascii="Garamond" w:hAnsi="Garamond" w:cs="Times New Roman"/>
          <w:lang w:val="en-GB"/>
        </w:rPr>
        <w:t>it explores internationalisation strategies with firm-level data on all types of overseas activities, in a way that allows a broad understanding of the</w:t>
      </w:r>
      <w:r w:rsidR="00F46691" w:rsidRPr="000604BD">
        <w:rPr>
          <w:rFonts w:ascii="Garamond" w:hAnsi="Garamond" w:cs="Times New Roman"/>
          <w:lang w:val="en-GB"/>
        </w:rPr>
        <w:t xml:space="preserve"> different dimensions – both separately and jointly – of sector as well as</w:t>
      </w:r>
      <w:r w:rsidR="008C6892" w:rsidRPr="000604BD">
        <w:rPr>
          <w:rFonts w:ascii="Garamond" w:hAnsi="Garamond" w:cs="Times New Roman"/>
          <w:lang w:val="en-GB"/>
        </w:rPr>
        <w:t xml:space="preserve"> geographical spread </w:t>
      </w:r>
      <w:r w:rsidR="00F46691" w:rsidRPr="000604BD">
        <w:rPr>
          <w:rFonts w:ascii="Garamond" w:hAnsi="Garamond" w:cs="Times New Roman"/>
          <w:lang w:val="en-GB"/>
        </w:rPr>
        <w:t>and</w:t>
      </w:r>
      <w:r w:rsidR="008C6892" w:rsidRPr="000604BD">
        <w:rPr>
          <w:rFonts w:ascii="Garamond" w:hAnsi="Garamond" w:cs="Times New Roman"/>
          <w:lang w:val="en-GB"/>
        </w:rPr>
        <w:t xml:space="preserve"> foreign entry modes. Second, it groups all investing companies from China and India into Europe from 2003 until 201</w:t>
      </w:r>
      <w:r w:rsidR="007C3A58" w:rsidRPr="000604BD">
        <w:rPr>
          <w:rFonts w:ascii="Garamond" w:hAnsi="Garamond" w:cs="Times New Roman"/>
          <w:lang w:val="en-GB"/>
        </w:rPr>
        <w:t>1</w:t>
      </w:r>
      <w:r w:rsidR="008C6892" w:rsidRPr="000604BD">
        <w:rPr>
          <w:rFonts w:ascii="Garamond" w:hAnsi="Garamond" w:cs="Times New Roman"/>
          <w:lang w:val="en-GB"/>
        </w:rPr>
        <w:t xml:space="preserve"> by the BG they belong to, so as to be able to carry out a </w:t>
      </w:r>
      <w:r w:rsidR="005F3994" w:rsidRPr="000604BD">
        <w:rPr>
          <w:rFonts w:ascii="Garamond" w:hAnsi="Garamond" w:cs="Times New Roman"/>
          <w:lang w:val="en-GB"/>
        </w:rPr>
        <w:t xml:space="preserve">broad-based comparison of their </w:t>
      </w:r>
      <w:r w:rsidR="006B535C" w:rsidRPr="000604BD">
        <w:rPr>
          <w:rFonts w:ascii="Garamond" w:hAnsi="Garamond" w:cs="Times New Roman"/>
          <w:lang w:val="en-GB"/>
        </w:rPr>
        <w:t xml:space="preserve">diversification strategies in Europe. </w:t>
      </w:r>
      <w:r w:rsidR="00B66D60" w:rsidRPr="000604BD">
        <w:rPr>
          <w:rFonts w:ascii="Garamond" w:hAnsi="Garamond" w:cs="Times New Roman"/>
          <w:lang w:val="en-GB"/>
        </w:rPr>
        <w:t xml:space="preserve">The remainder of the paper is as follows. Section 2 reviews the literature on BGs from </w:t>
      </w:r>
      <w:r w:rsidR="007C3A58" w:rsidRPr="000604BD">
        <w:rPr>
          <w:rFonts w:ascii="Garamond" w:hAnsi="Garamond" w:cs="Times New Roman"/>
          <w:lang w:val="en-GB"/>
        </w:rPr>
        <w:t>China and India</w:t>
      </w:r>
      <w:r w:rsidR="00B66D60" w:rsidRPr="000604BD">
        <w:rPr>
          <w:rFonts w:ascii="Garamond" w:hAnsi="Garamond" w:cs="Times New Roman"/>
          <w:lang w:val="en-GB"/>
        </w:rPr>
        <w:t>.</w:t>
      </w:r>
      <w:r w:rsidR="0029521B" w:rsidRPr="000604BD">
        <w:rPr>
          <w:rFonts w:ascii="Garamond" w:hAnsi="Garamond" w:cs="Times New Roman"/>
          <w:lang w:val="en-GB"/>
        </w:rPr>
        <w:t xml:space="preserve"> Section 3 a</w:t>
      </w:r>
      <w:r w:rsidR="002D5159" w:rsidRPr="000604BD">
        <w:rPr>
          <w:rFonts w:ascii="Garamond" w:hAnsi="Garamond" w:cs="Times New Roman"/>
          <w:lang w:val="en-GB"/>
        </w:rPr>
        <w:t xml:space="preserve">nalyses the </w:t>
      </w:r>
      <w:r w:rsidR="00476F0A" w:rsidRPr="000604BD">
        <w:rPr>
          <w:rFonts w:ascii="Garamond" w:hAnsi="Garamond" w:cs="Times New Roman"/>
          <w:lang w:val="en-GB"/>
        </w:rPr>
        <w:t xml:space="preserve">patterns of </w:t>
      </w:r>
      <w:r w:rsidR="002D5159" w:rsidRPr="000604BD">
        <w:rPr>
          <w:rFonts w:ascii="Garamond" w:hAnsi="Garamond" w:cs="Times New Roman"/>
          <w:lang w:val="en-GB"/>
        </w:rPr>
        <w:t xml:space="preserve">international expansion </w:t>
      </w:r>
      <w:r w:rsidR="00476F0A" w:rsidRPr="000604BD">
        <w:rPr>
          <w:rFonts w:ascii="Garamond" w:hAnsi="Garamond" w:cs="Times New Roman"/>
          <w:lang w:val="en-GB"/>
        </w:rPr>
        <w:t>of</w:t>
      </w:r>
      <w:r w:rsidR="005F3994" w:rsidRPr="000604BD">
        <w:rPr>
          <w:rFonts w:ascii="Garamond" w:hAnsi="Garamond" w:cs="Times New Roman"/>
          <w:lang w:val="en-GB"/>
        </w:rPr>
        <w:t xml:space="preserve"> Chinese and Indian BGs</w:t>
      </w:r>
      <w:r w:rsidR="00476F0A" w:rsidRPr="000604BD">
        <w:rPr>
          <w:rFonts w:ascii="Garamond" w:hAnsi="Garamond" w:cs="Times New Roman"/>
          <w:lang w:val="en-GB"/>
        </w:rPr>
        <w:t xml:space="preserve"> in Europe</w:t>
      </w:r>
      <w:r w:rsidR="002D5159" w:rsidRPr="000604BD">
        <w:rPr>
          <w:rFonts w:ascii="Garamond" w:hAnsi="Garamond" w:cs="Times New Roman"/>
          <w:lang w:val="en-GB"/>
        </w:rPr>
        <w:t xml:space="preserve">. </w:t>
      </w:r>
      <w:r w:rsidR="00D61914" w:rsidRPr="000604BD">
        <w:rPr>
          <w:rFonts w:ascii="Garamond" w:hAnsi="Garamond" w:cs="Times New Roman"/>
          <w:lang w:val="en-GB"/>
        </w:rPr>
        <w:t xml:space="preserve">Section 4 draws some implications for our understanding of the broad corporate strategies of Chinese and Indian BGs depending on </w:t>
      </w:r>
      <w:r w:rsidR="00B90C2E" w:rsidRPr="000604BD">
        <w:rPr>
          <w:rFonts w:ascii="Garamond" w:hAnsi="Garamond" w:cs="Times New Roman"/>
          <w:lang w:val="en-GB"/>
        </w:rPr>
        <w:t xml:space="preserve">their </w:t>
      </w:r>
      <w:r w:rsidR="00D61914" w:rsidRPr="000604BD">
        <w:rPr>
          <w:rFonts w:ascii="Garamond" w:hAnsi="Garamond" w:cs="Times New Roman"/>
          <w:lang w:val="en-GB"/>
        </w:rPr>
        <w:t>indu</w:t>
      </w:r>
      <w:r w:rsidR="00B90C2E" w:rsidRPr="000604BD">
        <w:rPr>
          <w:rFonts w:ascii="Garamond" w:hAnsi="Garamond" w:cs="Times New Roman"/>
          <w:lang w:val="en-GB"/>
        </w:rPr>
        <w:t xml:space="preserve">stry belonging and technological trajectories. </w:t>
      </w:r>
      <w:r w:rsidR="002D5159" w:rsidRPr="000604BD">
        <w:rPr>
          <w:rFonts w:ascii="Garamond" w:hAnsi="Garamond" w:cs="Times New Roman"/>
          <w:lang w:val="en-GB"/>
        </w:rPr>
        <w:t>Section 5 concludes.</w:t>
      </w:r>
    </w:p>
    <w:p w14:paraId="508CBB77" w14:textId="77777777" w:rsidR="00345FDD" w:rsidRPr="000604BD" w:rsidRDefault="00345FDD" w:rsidP="008B074C">
      <w:pPr>
        <w:pStyle w:val="ListParagraph"/>
        <w:spacing w:line="360" w:lineRule="auto"/>
        <w:ind w:left="0"/>
        <w:jc w:val="both"/>
        <w:rPr>
          <w:rFonts w:ascii="Garamond" w:hAnsi="Garamond" w:cs="Times New Roman"/>
          <w:lang w:val="en-GB"/>
        </w:rPr>
      </w:pPr>
    </w:p>
    <w:p w14:paraId="4200A0FE" w14:textId="77777777" w:rsidR="00345FDD" w:rsidRPr="000604BD" w:rsidRDefault="00345FDD" w:rsidP="008B074C">
      <w:pPr>
        <w:pStyle w:val="ListParagraph"/>
        <w:spacing w:line="360" w:lineRule="auto"/>
        <w:ind w:left="0"/>
        <w:jc w:val="both"/>
        <w:rPr>
          <w:rFonts w:ascii="Garamond" w:hAnsi="Garamond" w:cs="Times New Roman"/>
          <w:lang w:val="en-GB"/>
        </w:rPr>
      </w:pPr>
    </w:p>
    <w:p w14:paraId="0AE73C7D" w14:textId="062B4D7A" w:rsidR="007F74A7" w:rsidRPr="000604BD" w:rsidRDefault="007F74A7" w:rsidP="00284FF5">
      <w:pPr>
        <w:pStyle w:val="ListParagraph"/>
        <w:numPr>
          <w:ilvl w:val="0"/>
          <w:numId w:val="3"/>
        </w:numPr>
        <w:ind w:left="357" w:hanging="357"/>
        <w:rPr>
          <w:rFonts w:ascii="Garamond" w:hAnsi="Garamond" w:cs="Times New Roman"/>
          <w:b/>
          <w:sz w:val="28"/>
          <w:szCs w:val="28"/>
          <w:lang w:val="en-GB"/>
        </w:rPr>
      </w:pPr>
      <w:r w:rsidRPr="000604BD">
        <w:rPr>
          <w:rFonts w:ascii="Garamond" w:hAnsi="Garamond" w:cs="Times New Roman"/>
          <w:b/>
          <w:sz w:val="28"/>
          <w:szCs w:val="28"/>
          <w:lang w:val="en-GB"/>
        </w:rPr>
        <w:t>Business Groups</w:t>
      </w:r>
      <w:r w:rsidR="00C00B50" w:rsidRPr="000604BD">
        <w:rPr>
          <w:rFonts w:ascii="Garamond" w:hAnsi="Garamond" w:cs="Times New Roman"/>
          <w:b/>
          <w:sz w:val="28"/>
          <w:szCs w:val="28"/>
          <w:lang w:val="en-GB"/>
        </w:rPr>
        <w:t xml:space="preserve"> from </w:t>
      </w:r>
      <w:r w:rsidR="00B07F31" w:rsidRPr="000604BD">
        <w:rPr>
          <w:rFonts w:ascii="Garamond" w:hAnsi="Garamond" w:cs="Times New Roman"/>
          <w:b/>
          <w:sz w:val="28"/>
          <w:szCs w:val="28"/>
          <w:lang w:val="en-GB"/>
        </w:rPr>
        <w:t>China and India</w:t>
      </w:r>
      <w:r w:rsidR="00266C7E" w:rsidRPr="000604BD">
        <w:rPr>
          <w:rFonts w:ascii="Garamond" w:hAnsi="Garamond" w:cs="Times New Roman"/>
          <w:b/>
          <w:sz w:val="28"/>
          <w:szCs w:val="28"/>
          <w:lang w:val="en-GB"/>
        </w:rPr>
        <w:t>:</w:t>
      </w:r>
      <w:r w:rsidR="00C00B50" w:rsidRPr="000604BD">
        <w:rPr>
          <w:rFonts w:ascii="Garamond" w:hAnsi="Garamond" w:cs="Times New Roman"/>
          <w:b/>
          <w:sz w:val="28"/>
          <w:szCs w:val="28"/>
          <w:lang w:val="en-GB"/>
        </w:rPr>
        <w:t xml:space="preserve"> theory and evidence</w:t>
      </w:r>
      <w:r w:rsidR="00266C7E" w:rsidRPr="000604BD">
        <w:rPr>
          <w:rFonts w:ascii="Garamond" w:hAnsi="Garamond" w:cs="Times New Roman"/>
          <w:b/>
          <w:sz w:val="28"/>
          <w:szCs w:val="28"/>
          <w:lang w:val="en-GB"/>
        </w:rPr>
        <w:t xml:space="preserve"> </w:t>
      </w:r>
      <w:r w:rsidR="00A5225D">
        <w:rPr>
          <w:rFonts w:ascii="Garamond" w:hAnsi="Garamond" w:cs="Times New Roman"/>
          <w:b/>
          <w:sz w:val="28"/>
          <w:szCs w:val="28"/>
          <w:lang w:val="en-GB"/>
        </w:rPr>
        <w:t>on diversification strategies</w:t>
      </w:r>
    </w:p>
    <w:p w14:paraId="640846DF" w14:textId="77777777" w:rsidR="00266C7E" w:rsidRPr="000604BD" w:rsidRDefault="00266C7E" w:rsidP="00364873">
      <w:pPr>
        <w:pStyle w:val="ListParagraph"/>
        <w:ind w:left="0"/>
        <w:rPr>
          <w:rFonts w:ascii="Garamond" w:hAnsi="Garamond" w:cs="Times New Roman"/>
          <w:lang w:val="en-GB"/>
        </w:rPr>
      </w:pPr>
    </w:p>
    <w:p w14:paraId="25EF1703" w14:textId="2B8BF369" w:rsidR="004B531E" w:rsidRPr="000604BD" w:rsidRDefault="00C1784A" w:rsidP="004B531E">
      <w:pPr>
        <w:autoSpaceDE w:val="0"/>
        <w:autoSpaceDN w:val="0"/>
        <w:adjustRightInd w:val="0"/>
        <w:spacing w:after="0" w:line="360" w:lineRule="auto"/>
        <w:jc w:val="both"/>
        <w:rPr>
          <w:rFonts w:ascii="Garamond" w:hAnsi="Garamond" w:cs="NewCaledonia"/>
          <w:lang w:val="en-GB"/>
        </w:rPr>
      </w:pPr>
      <w:r w:rsidRPr="000604BD">
        <w:rPr>
          <w:rFonts w:ascii="Garamond" w:hAnsi="Garamond" w:cs="Times New Roman"/>
          <w:lang w:val="en-GB"/>
        </w:rPr>
        <w:t>The literature on BGs</w:t>
      </w:r>
      <w:r w:rsidR="004864B5" w:rsidRPr="000604BD">
        <w:rPr>
          <w:rFonts w:ascii="Garamond" w:hAnsi="Garamond" w:cs="Times New Roman"/>
          <w:lang w:val="en-GB"/>
        </w:rPr>
        <w:t xml:space="preserve"> from emerging countries</w:t>
      </w:r>
      <w:r w:rsidRPr="000604BD">
        <w:rPr>
          <w:rFonts w:ascii="Garamond" w:hAnsi="Garamond" w:cs="Times New Roman"/>
          <w:lang w:val="en-GB"/>
        </w:rPr>
        <w:t xml:space="preserve"> is huge, spanning across different research areas ranging from international business to economics, </w:t>
      </w:r>
      <w:r w:rsidR="003D7A23" w:rsidRPr="000604BD">
        <w:rPr>
          <w:rFonts w:ascii="Garamond" w:hAnsi="Garamond" w:cs="Times New Roman"/>
          <w:lang w:val="en-GB"/>
        </w:rPr>
        <w:t xml:space="preserve">from industrial organisation to </w:t>
      </w:r>
      <w:r w:rsidR="00AF099C" w:rsidRPr="000604BD">
        <w:rPr>
          <w:rFonts w:ascii="Garamond" w:hAnsi="Garamond" w:cs="Times New Roman"/>
          <w:lang w:val="en-GB"/>
        </w:rPr>
        <w:t>corporat</w:t>
      </w:r>
      <w:r w:rsidR="004864B5" w:rsidRPr="000604BD">
        <w:rPr>
          <w:rFonts w:ascii="Garamond" w:hAnsi="Garamond" w:cs="Times New Roman"/>
          <w:lang w:val="en-GB"/>
        </w:rPr>
        <w:t>e finance. A lot of research</w:t>
      </w:r>
      <w:r w:rsidR="00AF099C" w:rsidRPr="000604BD">
        <w:rPr>
          <w:rFonts w:ascii="Garamond" w:hAnsi="Garamond" w:cs="Times New Roman"/>
          <w:lang w:val="en-GB"/>
        </w:rPr>
        <w:t xml:space="preserve"> has also been conducted in business history and economic sociology, as well as in industrial development studies. These areas are as diverse as possible in terms of theoretical frameworks, methodological approaches and research questions</w:t>
      </w:r>
      <w:r w:rsidR="004864B5" w:rsidRPr="000604BD">
        <w:rPr>
          <w:rFonts w:ascii="Garamond" w:hAnsi="Garamond" w:cs="Times New Roman"/>
          <w:lang w:val="en-GB"/>
        </w:rPr>
        <w:t xml:space="preserve"> (</w:t>
      </w:r>
      <w:r w:rsidR="00705414" w:rsidRPr="000604BD">
        <w:rPr>
          <w:rFonts w:ascii="Garamond" w:hAnsi="Garamond" w:cs="Times New Roman"/>
          <w:lang w:val="en-GB"/>
        </w:rPr>
        <w:t>Colpan et al, 2010</w:t>
      </w:r>
      <w:r w:rsidR="004864B5" w:rsidRPr="000604BD">
        <w:rPr>
          <w:rFonts w:ascii="Garamond" w:hAnsi="Garamond" w:cs="Times New Roman"/>
          <w:lang w:val="en-GB"/>
        </w:rPr>
        <w:t>)</w:t>
      </w:r>
      <w:r w:rsidR="00AF099C" w:rsidRPr="000604BD">
        <w:rPr>
          <w:rFonts w:ascii="Garamond" w:hAnsi="Garamond" w:cs="Times New Roman"/>
          <w:lang w:val="en-GB"/>
        </w:rPr>
        <w:t xml:space="preserve">. </w:t>
      </w:r>
      <w:r w:rsidR="004B531E" w:rsidRPr="000604BD">
        <w:rPr>
          <w:rFonts w:ascii="Garamond" w:hAnsi="Garamond" w:cs="AdvPS8585"/>
          <w:lang w:val="en-GB"/>
        </w:rPr>
        <w:t xml:space="preserve">Overall, much attention has been given to the peculiarities of BGs originating from single economies, either individually or in a comparative perspective. </w:t>
      </w:r>
      <w:r w:rsidR="00707510">
        <w:rPr>
          <w:rFonts w:ascii="Garamond" w:hAnsi="Garamond" w:cs="AdvPS8585"/>
          <w:lang w:val="en-GB"/>
        </w:rPr>
        <w:t xml:space="preserve">The literature so far </w:t>
      </w:r>
      <w:r w:rsidR="00E8739D">
        <w:rPr>
          <w:rFonts w:ascii="Garamond" w:hAnsi="Garamond" w:cs="AdvPS8585"/>
          <w:lang w:val="en-GB"/>
        </w:rPr>
        <w:t>has shown</w:t>
      </w:r>
      <w:r w:rsidR="00707510">
        <w:rPr>
          <w:rFonts w:ascii="Garamond" w:hAnsi="Garamond" w:cs="AdvPS8585"/>
          <w:lang w:val="en-GB"/>
        </w:rPr>
        <w:t xml:space="preserve"> that </w:t>
      </w:r>
      <w:r w:rsidR="00E8739D">
        <w:rPr>
          <w:rFonts w:ascii="Garamond" w:hAnsi="Garamond" w:cs="AdvPS8585"/>
          <w:lang w:val="en-GB"/>
        </w:rPr>
        <w:t xml:space="preserve">BGs in different countries share some similarities, but at the same time also differ from one another in that they have their own unique characteristics, reflecting the socio-economic and institutional contexts of their home countries. </w:t>
      </w:r>
      <w:r w:rsidR="004B531E" w:rsidRPr="000604BD">
        <w:rPr>
          <w:rFonts w:ascii="Garamond" w:hAnsi="Garamond" w:cs="Times New Roman"/>
          <w:lang w:val="en-GB"/>
        </w:rPr>
        <w:t xml:space="preserve">Country-specific studies on BGs have shown that </w:t>
      </w:r>
      <w:r w:rsidR="004B531E" w:rsidRPr="000604BD">
        <w:rPr>
          <w:rFonts w:ascii="Garamond" w:hAnsi="Garamond" w:cs="NewCaledonia"/>
          <w:lang w:val="en-GB"/>
        </w:rPr>
        <w:t>groups around the world vary c</w:t>
      </w:r>
      <w:r w:rsidR="00E8739D">
        <w:rPr>
          <w:rFonts w:ascii="Garamond" w:hAnsi="Garamond" w:cs="NewCaledonia"/>
          <w:lang w:val="en-GB"/>
        </w:rPr>
        <w:t>onsiderably in many respects.</w:t>
      </w:r>
      <w:r w:rsidR="004B531E" w:rsidRPr="000604BD">
        <w:rPr>
          <w:rFonts w:ascii="Garamond" w:hAnsi="Garamond" w:cs="NewCaledonia"/>
          <w:lang w:val="en-GB"/>
        </w:rPr>
        <w:t xml:space="preserve"> </w:t>
      </w:r>
      <w:r w:rsidR="00E8739D">
        <w:rPr>
          <w:rFonts w:ascii="Garamond" w:hAnsi="Garamond" w:cs="NewCaledonia"/>
          <w:lang w:val="en-GB"/>
        </w:rPr>
        <w:t>A</w:t>
      </w:r>
      <w:r w:rsidR="004B531E" w:rsidRPr="000604BD">
        <w:rPr>
          <w:rFonts w:ascii="Garamond" w:hAnsi="Garamond" w:cs="NewCaledonia"/>
          <w:lang w:val="en-GB"/>
        </w:rPr>
        <w:t xml:space="preserve">s regards the sector spread, some are extremely diversified (often operating in a variety of manufacturing sectors and also banking and financial sectors), </w:t>
      </w:r>
      <w:r w:rsidR="00E8739D">
        <w:rPr>
          <w:rFonts w:ascii="Garamond" w:hAnsi="Garamond" w:cs="NewCaledonia"/>
          <w:lang w:val="en-GB"/>
        </w:rPr>
        <w:t>whereas others are more focused. I</w:t>
      </w:r>
      <w:r w:rsidR="004B531E" w:rsidRPr="000604BD">
        <w:rPr>
          <w:rFonts w:ascii="Garamond" w:hAnsi="Garamond" w:cs="NewCaledonia"/>
          <w:lang w:val="en-GB"/>
        </w:rPr>
        <w:t>n terms of ownership structure, some of them are vertically integrated, while other are more horizontally link</w:t>
      </w:r>
      <w:r w:rsidR="00E8739D">
        <w:rPr>
          <w:rFonts w:ascii="Garamond" w:hAnsi="Garamond" w:cs="NewCaledonia"/>
          <w:lang w:val="en-GB"/>
        </w:rPr>
        <w:t>ed through cross share-holdings. Finally,</w:t>
      </w:r>
      <w:r w:rsidR="004B531E" w:rsidRPr="000604BD">
        <w:rPr>
          <w:rFonts w:ascii="Garamond" w:hAnsi="Garamond" w:cs="NewCaledonia"/>
          <w:lang w:val="en-GB"/>
        </w:rPr>
        <w:t xml:space="preserve"> as far </w:t>
      </w:r>
      <w:r w:rsidR="004B531E" w:rsidRPr="000604BD">
        <w:rPr>
          <w:rFonts w:ascii="Garamond" w:hAnsi="Garamond" w:cs="NewCaledonia"/>
          <w:lang w:val="en-GB"/>
        </w:rPr>
        <w:lastRenderedPageBreak/>
        <w:t xml:space="preserve">as the geographical spread is concerned, some groups are more domestic oriented, while others have been pursuing foreign expansion strategies since their emergence. </w:t>
      </w:r>
    </w:p>
    <w:p w14:paraId="23C7652C" w14:textId="77777777" w:rsidR="004B531E" w:rsidRPr="000604BD" w:rsidRDefault="004B531E" w:rsidP="00DF1E2E">
      <w:pPr>
        <w:autoSpaceDE w:val="0"/>
        <w:autoSpaceDN w:val="0"/>
        <w:adjustRightInd w:val="0"/>
        <w:spacing w:after="0" w:line="360" w:lineRule="auto"/>
        <w:jc w:val="both"/>
        <w:rPr>
          <w:rFonts w:ascii="Garamond" w:hAnsi="Garamond" w:cs="AdvPS8585"/>
          <w:lang w:val="en-GB"/>
        </w:rPr>
      </w:pPr>
    </w:p>
    <w:p w14:paraId="58F3C7AF" w14:textId="70B8E38A" w:rsidR="00E45C24" w:rsidRPr="00E920A0" w:rsidRDefault="00705414" w:rsidP="003A1349">
      <w:pPr>
        <w:autoSpaceDE w:val="0"/>
        <w:autoSpaceDN w:val="0"/>
        <w:adjustRightInd w:val="0"/>
        <w:spacing w:after="0" w:line="360" w:lineRule="auto"/>
        <w:jc w:val="both"/>
        <w:rPr>
          <w:rFonts w:ascii="Garamond" w:hAnsi="Garamond" w:cs="Times New Roman"/>
          <w:lang w:val="en-US"/>
        </w:rPr>
      </w:pPr>
      <w:r w:rsidRPr="000604BD">
        <w:rPr>
          <w:rFonts w:ascii="Garamond" w:hAnsi="Garamond" w:cs="Times New Roman"/>
          <w:lang w:val="en-GB"/>
        </w:rPr>
        <w:t xml:space="preserve">Much of the scholarly discussion on BGs has dealt with two broad issues. First, the question whether this particular organisational form has a positive impact on affiliated firms’ performance compared to non-affiliated </w:t>
      </w:r>
      <w:r w:rsidRPr="00067A1F">
        <w:rPr>
          <w:rFonts w:ascii="Garamond" w:hAnsi="Garamond" w:cs="Times New Roman"/>
          <w:lang w:val="en-GB"/>
        </w:rPr>
        <w:t>firms</w:t>
      </w:r>
      <w:r w:rsidR="004139A1" w:rsidRPr="00067A1F">
        <w:rPr>
          <w:rFonts w:ascii="Garamond" w:hAnsi="Garamond" w:cs="Times New Roman"/>
          <w:lang w:val="en-GB"/>
        </w:rPr>
        <w:t xml:space="preserve"> (</w:t>
      </w:r>
      <w:r w:rsidR="00067A1F">
        <w:rPr>
          <w:rFonts w:ascii="Garamond" w:hAnsi="Garamond" w:cs="AdvPS8585"/>
          <w:lang w:val="en-US"/>
        </w:rPr>
        <w:t>Keister, 1998 and 2000;</w:t>
      </w:r>
      <w:r w:rsidR="00067A1F" w:rsidRPr="00067A1F">
        <w:rPr>
          <w:rFonts w:ascii="Garamond" w:hAnsi="Garamond" w:cs="AdvPS8585"/>
          <w:lang w:val="en-US"/>
        </w:rPr>
        <w:t xml:space="preserve"> </w:t>
      </w:r>
      <w:r w:rsidR="00067A1F">
        <w:rPr>
          <w:rFonts w:ascii="Garamond" w:hAnsi="Garamond" w:cs="AdvPS8585"/>
          <w:lang w:val="en-US"/>
        </w:rPr>
        <w:t xml:space="preserve">Morck et al, 2005; </w:t>
      </w:r>
      <w:r w:rsidR="00067A1F" w:rsidRPr="00067A1F">
        <w:rPr>
          <w:rFonts w:ascii="Garamond" w:hAnsi="Garamond" w:cs="AdvPS8585"/>
          <w:lang w:val="en-US"/>
        </w:rPr>
        <w:t xml:space="preserve">Yiu </w:t>
      </w:r>
      <w:r w:rsidR="00067A1F">
        <w:rPr>
          <w:rFonts w:ascii="Garamond" w:hAnsi="Garamond" w:cs="AdvPS8588"/>
          <w:lang w:val="en-US"/>
        </w:rPr>
        <w:t xml:space="preserve">et al., </w:t>
      </w:r>
      <w:r w:rsidR="00067A1F" w:rsidRPr="00067A1F">
        <w:rPr>
          <w:rFonts w:ascii="Garamond" w:hAnsi="Garamond" w:cs="AdvPS8585"/>
          <w:lang w:val="en-US"/>
        </w:rPr>
        <w:t>2005</w:t>
      </w:r>
      <w:r w:rsidR="00067A1F">
        <w:rPr>
          <w:rFonts w:ascii="Garamond" w:hAnsi="Garamond" w:cs="AdvPS8585"/>
          <w:lang w:val="en-US"/>
        </w:rPr>
        <w:t>; Guest and Sutherland, 2010</w:t>
      </w:r>
      <w:r w:rsidR="00067A1F" w:rsidRPr="00067A1F">
        <w:rPr>
          <w:rFonts w:ascii="Garamond" w:hAnsi="Garamond" w:cs="AdvPS8585"/>
          <w:lang w:val="en-US"/>
        </w:rPr>
        <w:t>)</w:t>
      </w:r>
      <w:r w:rsidRPr="00067A1F">
        <w:rPr>
          <w:rFonts w:ascii="Garamond" w:hAnsi="Garamond" w:cs="Times New Roman"/>
          <w:lang w:val="en-GB"/>
        </w:rPr>
        <w:t xml:space="preserve">. Second, the question </w:t>
      </w:r>
      <w:r w:rsidRPr="00067A1F">
        <w:rPr>
          <w:rFonts w:ascii="Garamond" w:hAnsi="Garamond" w:cs="AdvPS8585"/>
          <w:lang w:val="en-GB"/>
        </w:rPr>
        <w:t>whether business groups are to be seen as ‘paragons’</w:t>
      </w:r>
      <w:r w:rsidRPr="000604BD">
        <w:rPr>
          <w:rFonts w:ascii="Garamond" w:hAnsi="Garamond" w:cs="AdvPS8585"/>
          <w:lang w:val="en-GB"/>
        </w:rPr>
        <w:t xml:space="preserve"> or ‘parasites’ in the development process (Khanna and Yafeh, 2007</w:t>
      </w:r>
      <w:r w:rsidR="00401E47" w:rsidRPr="000604BD">
        <w:rPr>
          <w:rFonts w:ascii="Garamond" w:hAnsi="Garamond" w:cs="AdvPS8585"/>
          <w:lang w:val="en-GB"/>
        </w:rPr>
        <w:t>). Comparat</w:t>
      </w:r>
      <w:r w:rsidR="004B531E" w:rsidRPr="000604BD">
        <w:rPr>
          <w:rFonts w:ascii="Garamond" w:hAnsi="Garamond" w:cs="AdvPS8585"/>
          <w:lang w:val="en-GB"/>
        </w:rPr>
        <w:t>iv</w:t>
      </w:r>
      <w:r w:rsidR="00401E47" w:rsidRPr="000604BD">
        <w:rPr>
          <w:rFonts w:ascii="Garamond" w:hAnsi="Garamond" w:cs="AdvPS8585"/>
          <w:lang w:val="en-GB"/>
        </w:rPr>
        <w:t>ely less research has investigat</w:t>
      </w:r>
      <w:r w:rsidR="00ED1A53" w:rsidRPr="000604BD">
        <w:rPr>
          <w:rFonts w:ascii="Garamond" w:hAnsi="Garamond" w:cs="AdvPS8585"/>
          <w:lang w:val="en-GB"/>
        </w:rPr>
        <w:t>ed</w:t>
      </w:r>
      <w:r w:rsidR="00401E47" w:rsidRPr="000604BD">
        <w:rPr>
          <w:rFonts w:ascii="Garamond" w:hAnsi="Garamond" w:cs="AdvPS8585"/>
          <w:lang w:val="en-GB"/>
        </w:rPr>
        <w:t xml:space="preserve"> the </w:t>
      </w:r>
      <w:r w:rsidR="00ED1A53" w:rsidRPr="000604BD">
        <w:rPr>
          <w:rFonts w:ascii="Garamond" w:hAnsi="Garamond" w:cs="AdvPS8585"/>
          <w:lang w:val="en-GB"/>
        </w:rPr>
        <w:t xml:space="preserve">international dimension and outbound reach of BGs </w:t>
      </w:r>
      <w:r w:rsidR="00351900" w:rsidRPr="000604BD">
        <w:rPr>
          <w:rFonts w:ascii="Garamond" w:hAnsi="Garamond" w:cs="AdvPS8585"/>
          <w:lang w:val="en-GB"/>
        </w:rPr>
        <w:t xml:space="preserve">and how the cross-border activities of BGs impact on their overall performance, on the productivity and profitability of affiliates, and ultimately on </w:t>
      </w:r>
      <w:r w:rsidR="00E45C24" w:rsidRPr="000604BD">
        <w:rPr>
          <w:rFonts w:ascii="Garamond" w:hAnsi="Garamond" w:cs="AdvPS8585"/>
          <w:lang w:val="en-GB"/>
        </w:rPr>
        <w:t>the economic viability of BGs from their home country perspective as well as from an international development angle.</w:t>
      </w:r>
      <w:r w:rsidR="00DF1E2E" w:rsidRPr="000604BD">
        <w:rPr>
          <w:rFonts w:ascii="Garamond" w:hAnsi="Garamond" w:cs="AdvPS8585"/>
          <w:lang w:val="en-GB"/>
        </w:rPr>
        <w:t xml:space="preserve"> T</w:t>
      </w:r>
      <w:r w:rsidR="004864B5" w:rsidRPr="000604BD">
        <w:rPr>
          <w:rFonts w:ascii="Garamond" w:hAnsi="Garamond" w:cs="Times New Roman"/>
          <w:lang w:val="en-GB"/>
        </w:rPr>
        <w:t xml:space="preserve">he phenomenon of </w:t>
      </w:r>
      <w:r w:rsidR="00D12A5F" w:rsidRPr="000604BD">
        <w:rPr>
          <w:rFonts w:ascii="Garamond" w:hAnsi="Garamond" w:cs="Times New Roman"/>
          <w:lang w:val="en-GB"/>
        </w:rPr>
        <w:t xml:space="preserve">the </w:t>
      </w:r>
      <w:r w:rsidR="004864B5" w:rsidRPr="000604BD">
        <w:rPr>
          <w:rFonts w:ascii="Garamond" w:hAnsi="Garamond" w:cs="Times New Roman"/>
          <w:lang w:val="en-GB"/>
        </w:rPr>
        <w:t xml:space="preserve">internationalisation of BGs </w:t>
      </w:r>
      <w:r w:rsidR="00D12A5F" w:rsidRPr="000604BD">
        <w:rPr>
          <w:rFonts w:ascii="Garamond" w:hAnsi="Garamond" w:cs="Times New Roman"/>
          <w:lang w:val="en-GB"/>
        </w:rPr>
        <w:t xml:space="preserve">from emerging economies </w:t>
      </w:r>
      <w:r w:rsidR="004864B5" w:rsidRPr="000604BD">
        <w:rPr>
          <w:rFonts w:ascii="Garamond" w:hAnsi="Garamond" w:cs="Times New Roman"/>
          <w:lang w:val="en-GB"/>
        </w:rPr>
        <w:t xml:space="preserve">has been </w:t>
      </w:r>
      <w:r w:rsidR="00D12A5F" w:rsidRPr="000604BD">
        <w:rPr>
          <w:rFonts w:ascii="Garamond" w:hAnsi="Garamond" w:cs="Times New Roman"/>
          <w:lang w:val="en-GB"/>
        </w:rPr>
        <w:t xml:space="preserve">extensively </w:t>
      </w:r>
      <w:r w:rsidR="004864B5" w:rsidRPr="000604BD">
        <w:rPr>
          <w:rFonts w:ascii="Garamond" w:hAnsi="Garamond" w:cs="Times New Roman"/>
          <w:lang w:val="en-GB"/>
        </w:rPr>
        <w:t>explored in</w:t>
      </w:r>
      <w:r w:rsidR="00D12A5F" w:rsidRPr="000604BD">
        <w:rPr>
          <w:rFonts w:ascii="Garamond" w:hAnsi="Garamond" w:cs="Times New Roman"/>
          <w:lang w:val="en-GB"/>
        </w:rPr>
        <w:t xml:space="preserve"> single country or comparative analyses, mainly</w:t>
      </w:r>
      <w:r w:rsidR="00DF1E2E" w:rsidRPr="000604BD">
        <w:rPr>
          <w:rFonts w:ascii="Garamond" w:hAnsi="Garamond" w:cs="Times New Roman"/>
          <w:lang w:val="en-GB"/>
        </w:rPr>
        <w:t xml:space="preserve"> from an historical </w:t>
      </w:r>
      <w:r w:rsidR="00DF1E2E" w:rsidRPr="00E920A0">
        <w:rPr>
          <w:rFonts w:ascii="Garamond" w:hAnsi="Garamond" w:cs="Times New Roman"/>
          <w:lang w:val="en-GB"/>
        </w:rPr>
        <w:t>perspective</w:t>
      </w:r>
      <w:r w:rsidR="00B53BC0" w:rsidRPr="00E920A0">
        <w:rPr>
          <w:rFonts w:ascii="Garamond" w:hAnsi="Garamond" w:cs="Times New Roman"/>
          <w:lang w:val="en-GB"/>
        </w:rPr>
        <w:t xml:space="preserve"> (</w:t>
      </w:r>
      <w:r w:rsidR="00067A1F" w:rsidRPr="00E920A0">
        <w:rPr>
          <w:rFonts w:ascii="Garamond" w:hAnsi="Garamond" w:cs="Times New Roman"/>
          <w:lang w:val="en-GB"/>
        </w:rPr>
        <w:t>Colpan et al, 2010</w:t>
      </w:r>
      <w:r w:rsidR="00B53BC0" w:rsidRPr="00E920A0">
        <w:rPr>
          <w:rFonts w:ascii="Garamond" w:hAnsi="Garamond" w:cs="Times New Roman"/>
          <w:lang w:val="en-GB"/>
        </w:rPr>
        <w:t>)</w:t>
      </w:r>
      <w:r w:rsidR="00DF1E2E" w:rsidRPr="00E920A0">
        <w:rPr>
          <w:rFonts w:ascii="Garamond" w:hAnsi="Garamond" w:cs="Times New Roman"/>
          <w:lang w:val="en-GB"/>
        </w:rPr>
        <w:t>.</w:t>
      </w:r>
      <w:r w:rsidR="0068747F" w:rsidRPr="00E920A0">
        <w:rPr>
          <w:rFonts w:ascii="Garamond" w:hAnsi="Garamond" w:cs="Times New Roman"/>
          <w:lang w:val="en-GB"/>
        </w:rPr>
        <w:t xml:space="preserve"> Empirical research has been so far rather scant, with the only exception of a survey-</w:t>
      </w:r>
      <w:r w:rsidR="001F2013" w:rsidRPr="00E920A0">
        <w:rPr>
          <w:rFonts w:ascii="Garamond" w:hAnsi="Garamond" w:cs="Times New Roman"/>
          <w:lang w:val="en-GB"/>
        </w:rPr>
        <w:t xml:space="preserve">based study </w:t>
      </w:r>
      <w:r w:rsidR="003A1349" w:rsidRPr="00E920A0">
        <w:rPr>
          <w:rFonts w:ascii="Garamond" w:hAnsi="Garamond" w:cs="Times New Roman"/>
          <w:lang w:val="en-GB"/>
        </w:rPr>
        <w:t xml:space="preserve">on 219 group-affiliated firms </w:t>
      </w:r>
      <w:r w:rsidR="001F2013" w:rsidRPr="00E920A0">
        <w:rPr>
          <w:rFonts w:ascii="Garamond" w:hAnsi="Garamond" w:cs="Times New Roman"/>
          <w:lang w:val="en-GB"/>
        </w:rPr>
        <w:t xml:space="preserve">by Yiu et al (2013) who explored </w:t>
      </w:r>
      <w:r w:rsidR="003A1349" w:rsidRPr="00E920A0">
        <w:rPr>
          <w:rFonts w:ascii="Garamond" w:hAnsi="Garamond" w:cs="Times New Roman"/>
          <w:lang w:val="en-GB"/>
        </w:rPr>
        <w:t xml:space="preserve">how the unique multinational (ownership-location-internalization) attributes </w:t>
      </w:r>
      <w:r w:rsidR="003A1349" w:rsidRPr="00E920A0">
        <w:rPr>
          <w:rFonts w:ascii="Garamond" w:hAnsi="Garamond" w:cs="AdvTimes"/>
          <w:lang w:val="en-US"/>
        </w:rPr>
        <w:t xml:space="preserve">that Chinese </w:t>
      </w:r>
      <w:r w:rsidR="00E920A0" w:rsidRPr="00E920A0">
        <w:rPr>
          <w:rFonts w:ascii="Garamond" w:hAnsi="Garamond" w:cs="AdvTimes"/>
          <w:lang w:val="en-US"/>
        </w:rPr>
        <w:t>BGs</w:t>
      </w:r>
      <w:r w:rsidR="003A1349" w:rsidRPr="00E920A0">
        <w:rPr>
          <w:rFonts w:ascii="Garamond" w:hAnsi="Garamond" w:cs="AdvTimes"/>
          <w:lang w:val="en-US"/>
        </w:rPr>
        <w:t xml:space="preserve"> possess for expanding overseas, can help group affiliates to pursue different types of internationalization strategies. Specifically, they argue that business groups’ attributes have differential impacts on the pursuit of market-seeking and asset-seeking internationalization strategies. Whereas market-seeking internationalization exploits home-developed advantages in other emerging markets and cost advantages for staying at the lower end of the value chain in developed markets (Khanna and Palepu, 2006), asset-seeking internationalization aims at acquiring strategic</w:t>
      </w:r>
      <w:r w:rsidR="00E920A0">
        <w:rPr>
          <w:rFonts w:ascii="Garamond" w:hAnsi="Garamond" w:cs="AdvTimes"/>
          <w:lang w:val="en-US"/>
        </w:rPr>
        <w:t xml:space="preserve"> </w:t>
      </w:r>
      <w:r w:rsidR="003A1349" w:rsidRPr="00E920A0">
        <w:rPr>
          <w:rFonts w:ascii="Garamond" w:hAnsi="Garamond" w:cs="AdvTimes"/>
          <w:lang w:val="en-US"/>
        </w:rPr>
        <w:t xml:space="preserve">assets from more advanced countries to augment competitive disadvantages in both home and host markets (Mattews, 2006). </w:t>
      </w:r>
    </w:p>
    <w:p w14:paraId="11B8E931" w14:textId="77777777" w:rsidR="00DF1E2E" w:rsidRPr="000604BD" w:rsidRDefault="00DF1E2E" w:rsidP="00DF1E2E">
      <w:pPr>
        <w:autoSpaceDE w:val="0"/>
        <w:autoSpaceDN w:val="0"/>
        <w:adjustRightInd w:val="0"/>
        <w:spacing w:after="0" w:line="360" w:lineRule="auto"/>
        <w:jc w:val="both"/>
        <w:rPr>
          <w:rFonts w:ascii="Garamond" w:hAnsi="Garamond" w:cs="Times New Roman"/>
          <w:lang w:val="en-GB"/>
        </w:rPr>
      </w:pPr>
    </w:p>
    <w:p w14:paraId="3E238E9C" w14:textId="46BFCDCB" w:rsidR="00A56A0E" w:rsidRDefault="00DF1E2E" w:rsidP="002D5159">
      <w:pPr>
        <w:spacing w:line="360" w:lineRule="auto"/>
        <w:jc w:val="both"/>
        <w:rPr>
          <w:rFonts w:ascii="Garamond" w:hAnsi="Garamond" w:cs="Times New Roman"/>
          <w:lang w:val="en-GB"/>
        </w:rPr>
      </w:pPr>
      <w:r w:rsidRPr="000604BD">
        <w:rPr>
          <w:rFonts w:ascii="Garamond" w:hAnsi="Garamond" w:cs="Times New Roman"/>
          <w:lang w:val="en-GB"/>
        </w:rPr>
        <w:t>In this section</w:t>
      </w:r>
      <w:r w:rsidR="00935C44">
        <w:rPr>
          <w:rFonts w:ascii="Garamond" w:hAnsi="Garamond" w:cs="Times New Roman"/>
          <w:lang w:val="en-GB"/>
        </w:rPr>
        <w:t>, we</w:t>
      </w:r>
      <w:r w:rsidRPr="000604BD">
        <w:rPr>
          <w:rFonts w:ascii="Garamond" w:hAnsi="Garamond" w:cs="Times New Roman"/>
          <w:lang w:val="en-GB"/>
        </w:rPr>
        <w:t xml:space="preserve"> </w:t>
      </w:r>
      <w:r w:rsidR="00935C44">
        <w:rPr>
          <w:rFonts w:ascii="Garamond" w:hAnsi="Garamond" w:cs="Times New Roman"/>
          <w:lang w:val="en-GB"/>
        </w:rPr>
        <w:t xml:space="preserve">provide </w:t>
      </w:r>
      <w:r w:rsidR="00A033F9">
        <w:rPr>
          <w:rFonts w:ascii="Garamond" w:hAnsi="Garamond" w:cs="Times New Roman"/>
          <w:lang w:val="en-GB"/>
        </w:rPr>
        <w:t xml:space="preserve">a </w:t>
      </w:r>
      <w:r w:rsidRPr="000604BD">
        <w:rPr>
          <w:rFonts w:ascii="Garamond" w:hAnsi="Garamond" w:cs="Times New Roman"/>
          <w:lang w:val="en-GB"/>
        </w:rPr>
        <w:t xml:space="preserve">review </w:t>
      </w:r>
      <w:r w:rsidR="00A033F9">
        <w:rPr>
          <w:rFonts w:ascii="Garamond" w:hAnsi="Garamond" w:cs="Times New Roman"/>
          <w:lang w:val="en-GB"/>
        </w:rPr>
        <w:t xml:space="preserve">of </w:t>
      </w:r>
      <w:r w:rsidR="00F13747">
        <w:rPr>
          <w:rFonts w:ascii="Garamond" w:hAnsi="Garamond" w:cs="Times New Roman"/>
          <w:lang w:val="en-GB"/>
        </w:rPr>
        <w:t xml:space="preserve">the issue of </w:t>
      </w:r>
      <w:r w:rsidR="00A5225D">
        <w:rPr>
          <w:rFonts w:ascii="Garamond" w:hAnsi="Garamond" w:cs="Times New Roman"/>
          <w:lang w:val="en-GB"/>
        </w:rPr>
        <w:t>diversification strategies</w:t>
      </w:r>
      <w:r w:rsidR="00611B3A">
        <w:rPr>
          <w:rFonts w:ascii="Garamond" w:hAnsi="Garamond" w:cs="Times New Roman"/>
          <w:lang w:val="en-GB"/>
        </w:rPr>
        <w:t>,</w:t>
      </w:r>
      <w:r w:rsidR="00935C44">
        <w:rPr>
          <w:rFonts w:ascii="Garamond" w:hAnsi="Garamond" w:cs="Times New Roman"/>
          <w:lang w:val="en-GB"/>
        </w:rPr>
        <w:t xml:space="preserve"> as it has been dealt with </w:t>
      </w:r>
      <w:r w:rsidR="00A033F9">
        <w:rPr>
          <w:rFonts w:ascii="Garamond" w:hAnsi="Garamond" w:cs="Times New Roman"/>
          <w:lang w:val="en-GB"/>
        </w:rPr>
        <w:t xml:space="preserve">first </w:t>
      </w:r>
      <w:r w:rsidR="00935C44">
        <w:rPr>
          <w:rFonts w:ascii="Garamond" w:hAnsi="Garamond" w:cs="Times New Roman"/>
          <w:lang w:val="en-GB"/>
        </w:rPr>
        <w:t xml:space="preserve">within the </w:t>
      </w:r>
      <w:r w:rsidR="00A033F9">
        <w:rPr>
          <w:rFonts w:ascii="Garamond" w:hAnsi="Garamond" w:cs="Times New Roman"/>
          <w:lang w:val="en-GB"/>
        </w:rPr>
        <w:t xml:space="preserve">general </w:t>
      </w:r>
      <w:r w:rsidR="00935C44">
        <w:rPr>
          <w:rFonts w:ascii="Garamond" w:hAnsi="Garamond" w:cs="Times New Roman"/>
          <w:lang w:val="en-GB"/>
        </w:rPr>
        <w:t xml:space="preserve">BG literature and </w:t>
      </w:r>
      <w:r w:rsidR="00A033F9">
        <w:rPr>
          <w:rFonts w:ascii="Garamond" w:hAnsi="Garamond" w:cs="Times New Roman"/>
          <w:lang w:val="en-GB"/>
        </w:rPr>
        <w:t xml:space="preserve">then </w:t>
      </w:r>
      <w:r w:rsidR="00935C44">
        <w:rPr>
          <w:rFonts w:ascii="Garamond" w:hAnsi="Garamond" w:cs="Times New Roman"/>
          <w:lang w:val="en-GB"/>
        </w:rPr>
        <w:t>specifically by</w:t>
      </w:r>
      <w:r w:rsidRPr="000604BD">
        <w:rPr>
          <w:rFonts w:ascii="Garamond" w:hAnsi="Garamond" w:cs="Times New Roman"/>
          <w:lang w:val="en-GB"/>
        </w:rPr>
        <w:t xml:space="preserve"> </w:t>
      </w:r>
      <w:r w:rsidR="00935C44" w:rsidRPr="000604BD">
        <w:rPr>
          <w:rFonts w:ascii="Garamond" w:hAnsi="Garamond" w:cs="Times New Roman"/>
          <w:lang w:val="en-GB"/>
        </w:rPr>
        <w:t>the specialised literature on Chinese and Indian BGs</w:t>
      </w:r>
      <w:r w:rsidR="00935C44">
        <w:rPr>
          <w:rFonts w:ascii="Garamond" w:hAnsi="Garamond" w:cs="Times New Roman"/>
          <w:lang w:val="en-GB"/>
        </w:rPr>
        <w:t xml:space="preserve">. </w:t>
      </w:r>
      <w:r w:rsidR="00D12A5F" w:rsidRPr="000604BD">
        <w:rPr>
          <w:rFonts w:ascii="Garamond" w:hAnsi="Garamond" w:cs="Times New Roman"/>
          <w:lang w:val="en-GB"/>
        </w:rPr>
        <w:t xml:space="preserve">Compared to the experience of BGs from early industrialisers </w:t>
      </w:r>
      <w:r w:rsidR="00935C44">
        <w:rPr>
          <w:rFonts w:ascii="Garamond" w:hAnsi="Garamond" w:cs="Times New Roman"/>
          <w:lang w:val="en-GB"/>
        </w:rPr>
        <w:t>in</w:t>
      </w:r>
      <w:r w:rsidR="00D12A5F" w:rsidRPr="000604BD">
        <w:rPr>
          <w:rFonts w:ascii="Garamond" w:hAnsi="Garamond" w:cs="Times New Roman"/>
          <w:lang w:val="en-GB"/>
        </w:rPr>
        <w:t xml:space="preserve"> Japan and South Korea, where “firms affiliated respectively with </w:t>
      </w:r>
      <w:r w:rsidR="00D12A5F" w:rsidRPr="000604BD">
        <w:rPr>
          <w:rFonts w:ascii="Garamond" w:hAnsi="Garamond" w:cs="Times New Roman"/>
          <w:i/>
          <w:lang w:val="en-GB"/>
        </w:rPr>
        <w:t>chaebols</w:t>
      </w:r>
      <w:r w:rsidR="00D12A5F" w:rsidRPr="000604BD">
        <w:rPr>
          <w:rFonts w:ascii="Garamond" w:hAnsi="Garamond" w:cs="Times New Roman"/>
          <w:lang w:val="en-GB"/>
        </w:rPr>
        <w:t xml:space="preserve"> and </w:t>
      </w:r>
      <w:r w:rsidR="00D12A5F" w:rsidRPr="000604BD">
        <w:rPr>
          <w:rFonts w:ascii="Garamond" w:hAnsi="Garamond" w:cs="Times New Roman"/>
          <w:i/>
          <w:lang w:val="en-GB"/>
        </w:rPr>
        <w:t>keiretsu</w:t>
      </w:r>
      <w:r w:rsidR="00D12A5F" w:rsidRPr="000604BD">
        <w:rPr>
          <w:rFonts w:ascii="Garamond" w:hAnsi="Garamond" w:cs="Times New Roman"/>
          <w:lang w:val="en-GB"/>
        </w:rPr>
        <w:t xml:space="preserve"> have been </w:t>
      </w:r>
      <w:r w:rsidR="000E562F" w:rsidRPr="000604BD">
        <w:rPr>
          <w:rFonts w:ascii="Garamond" w:hAnsi="Garamond" w:cs="Times New Roman"/>
          <w:lang w:val="en-GB"/>
        </w:rPr>
        <w:t>internationalising for d</w:t>
      </w:r>
      <w:r w:rsidR="00935C44">
        <w:rPr>
          <w:rFonts w:ascii="Garamond" w:hAnsi="Garamond" w:cs="Times New Roman"/>
          <w:lang w:val="en-GB"/>
        </w:rPr>
        <w:t>ecades” (Colpan et al, p. 929),</w:t>
      </w:r>
      <w:r w:rsidR="000E562F" w:rsidRPr="000604BD">
        <w:rPr>
          <w:rFonts w:ascii="Garamond" w:hAnsi="Garamond" w:cs="Times New Roman"/>
          <w:lang w:val="en-GB"/>
        </w:rPr>
        <w:t xml:space="preserve"> the internationalisation process is a more recent phenomenon for </w:t>
      </w:r>
      <w:r w:rsidRPr="000604BD">
        <w:rPr>
          <w:rFonts w:ascii="Garamond" w:hAnsi="Garamond" w:cs="Times New Roman"/>
          <w:lang w:val="en-GB"/>
        </w:rPr>
        <w:t xml:space="preserve">Chinese and Indian </w:t>
      </w:r>
      <w:r w:rsidR="000E562F" w:rsidRPr="000604BD">
        <w:rPr>
          <w:rFonts w:ascii="Garamond" w:hAnsi="Garamond" w:cs="Times New Roman"/>
          <w:lang w:val="en-GB"/>
        </w:rPr>
        <w:t>firms</w:t>
      </w:r>
      <w:r w:rsidR="004B531E" w:rsidRPr="000604BD">
        <w:rPr>
          <w:rFonts w:ascii="Garamond" w:hAnsi="Garamond" w:cs="Times New Roman"/>
          <w:lang w:val="en-GB"/>
        </w:rPr>
        <w:t xml:space="preserve"> due to institutional and policy factors.</w:t>
      </w:r>
      <w:r w:rsidR="00935C44">
        <w:rPr>
          <w:rFonts w:ascii="Garamond" w:hAnsi="Garamond" w:cs="Times New Roman"/>
          <w:lang w:val="en-GB"/>
        </w:rPr>
        <w:t xml:space="preserve"> </w:t>
      </w:r>
    </w:p>
    <w:p w14:paraId="4713C35C" w14:textId="21F2B557" w:rsidR="00935C44" w:rsidRDefault="00935C44" w:rsidP="002D5159">
      <w:pPr>
        <w:spacing w:line="360" w:lineRule="auto"/>
        <w:jc w:val="both"/>
        <w:rPr>
          <w:rFonts w:ascii="Garamond" w:hAnsi="Garamond" w:cs="Times New Roman"/>
          <w:lang w:val="en-GB"/>
        </w:rPr>
      </w:pPr>
      <w:r>
        <w:rPr>
          <w:rFonts w:ascii="Garamond" w:hAnsi="Garamond" w:cs="Times New Roman"/>
          <w:lang w:val="en-GB"/>
        </w:rPr>
        <w:t>Delios and Ma (2010)</w:t>
      </w:r>
      <w:r w:rsidR="00092F0D">
        <w:rPr>
          <w:rFonts w:ascii="Garamond" w:hAnsi="Garamond" w:cs="Times New Roman"/>
          <w:lang w:val="en-GB"/>
        </w:rPr>
        <w:t xml:space="preserve"> look at trends in sixteen</w:t>
      </w:r>
      <w:r w:rsidR="00085654">
        <w:rPr>
          <w:rFonts w:ascii="Garamond" w:hAnsi="Garamond" w:cs="Times New Roman"/>
          <w:lang w:val="en-GB"/>
        </w:rPr>
        <w:t xml:space="preserve"> </w:t>
      </w:r>
      <w:r w:rsidR="00A033F9">
        <w:rPr>
          <w:rFonts w:ascii="Garamond" w:hAnsi="Garamond" w:cs="Times New Roman"/>
          <w:lang w:val="en-GB"/>
        </w:rPr>
        <w:t xml:space="preserve">countries </w:t>
      </w:r>
      <w:r w:rsidR="00092F0D">
        <w:rPr>
          <w:rFonts w:ascii="Garamond" w:hAnsi="Garamond" w:cs="Times New Roman"/>
          <w:lang w:val="en-GB"/>
        </w:rPr>
        <w:t>e</w:t>
      </w:r>
      <w:r w:rsidR="00A033F9">
        <w:rPr>
          <w:rFonts w:ascii="Garamond" w:hAnsi="Garamond" w:cs="Times New Roman"/>
          <w:lang w:val="en-GB"/>
        </w:rPr>
        <w:t>ach with a large number of groups with the aim to draw broad conclusions on how BGs evolved in their approaches to product and geographic diversification.</w:t>
      </w:r>
      <w:r w:rsidR="00611B3A">
        <w:rPr>
          <w:rFonts w:ascii="Garamond" w:hAnsi="Garamond" w:cs="Times New Roman"/>
          <w:lang w:val="en-GB"/>
        </w:rPr>
        <w:t xml:space="preserve"> The prevalence of studies on BGs from individual economies, together with the lack of comprehensive firm-level data on</w:t>
      </w:r>
      <w:r w:rsidR="00085654">
        <w:rPr>
          <w:rFonts w:ascii="Garamond" w:hAnsi="Garamond" w:cs="Times New Roman"/>
          <w:lang w:val="en-GB"/>
        </w:rPr>
        <w:t xml:space="preserve"> </w:t>
      </w:r>
      <w:r w:rsidR="00611B3A">
        <w:rPr>
          <w:rFonts w:ascii="Garamond" w:hAnsi="Garamond" w:cs="Times New Roman"/>
          <w:lang w:val="en-GB"/>
        </w:rPr>
        <w:t xml:space="preserve">both domestic and cross-border affiliate networks of firms belonging to BGs, </w:t>
      </w:r>
      <w:r w:rsidR="00085654">
        <w:rPr>
          <w:rFonts w:ascii="Garamond" w:hAnsi="Garamond" w:cs="Times New Roman"/>
          <w:lang w:val="en-GB"/>
        </w:rPr>
        <w:t>are</w:t>
      </w:r>
      <w:r w:rsidR="00611B3A">
        <w:rPr>
          <w:rFonts w:ascii="Garamond" w:hAnsi="Garamond" w:cs="Times New Roman"/>
          <w:lang w:val="en-GB"/>
        </w:rPr>
        <w:t xml:space="preserve"> possibly</w:t>
      </w:r>
      <w:r w:rsidR="00085654">
        <w:rPr>
          <w:rFonts w:ascii="Garamond" w:hAnsi="Garamond" w:cs="Times New Roman"/>
          <w:lang w:val="en-GB"/>
        </w:rPr>
        <w:t xml:space="preserve"> the</w:t>
      </w:r>
      <w:r w:rsidR="00611B3A">
        <w:rPr>
          <w:rFonts w:ascii="Garamond" w:hAnsi="Garamond" w:cs="Times New Roman"/>
          <w:lang w:val="en-GB"/>
        </w:rPr>
        <w:t xml:space="preserve"> major reason</w:t>
      </w:r>
      <w:r w:rsidR="00085654">
        <w:rPr>
          <w:rFonts w:ascii="Garamond" w:hAnsi="Garamond" w:cs="Times New Roman"/>
          <w:lang w:val="en-GB"/>
        </w:rPr>
        <w:t>s</w:t>
      </w:r>
      <w:r w:rsidR="00611B3A">
        <w:rPr>
          <w:rFonts w:ascii="Garamond" w:hAnsi="Garamond" w:cs="Times New Roman"/>
          <w:lang w:val="en-GB"/>
        </w:rPr>
        <w:t xml:space="preserve"> for the widespread </w:t>
      </w:r>
      <w:r w:rsidR="00085654">
        <w:rPr>
          <w:rFonts w:ascii="Garamond" w:hAnsi="Garamond" w:cs="Times New Roman"/>
          <w:lang w:val="en-GB"/>
        </w:rPr>
        <w:t>attention by scholars on product diversification to the detriment of geographic diversification on the one hand, and, on the other hand, on the hypothesis that BGs have a predilection for extensive product diversification</w:t>
      </w:r>
      <w:r w:rsidR="00FA1C1C">
        <w:rPr>
          <w:rFonts w:ascii="Garamond" w:hAnsi="Garamond" w:cs="Times New Roman"/>
          <w:lang w:val="en-GB"/>
        </w:rPr>
        <w:t>,</w:t>
      </w:r>
      <w:r w:rsidR="00085654">
        <w:rPr>
          <w:rFonts w:ascii="Garamond" w:hAnsi="Garamond" w:cs="Times New Roman"/>
          <w:lang w:val="en-GB"/>
        </w:rPr>
        <w:t xml:space="preserve"> but exhibit </w:t>
      </w:r>
      <w:r w:rsidR="00FA1C1C">
        <w:rPr>
          <w:rFonts w:ascii="Garamond" w:hAnsi="Garamond" w:cs="Times New Roman"/>
          <w:lang w:val="en-GB"/>
        </w:rPr>
        <w:t>limited</w:t>
      </w:r>
      <w:r w:rsidR="00085654">
        <w:rPr>
          <w:rFonts w:ascii="Garamond" w:hAnsi="Garamond" w:cs="Times New Roman"/>
          <w:lang w:val="en-GB"/>
        </w:rPr>
        <w:t xml:space="preserve"> geographic diversification (Delios and Ma, 2010).</w:t>
      </w:r>
    </w:p>
    <w:p w14:paraId="36B320B7" w14:textId="538C37BB" w:rsidR="00611B3A" w:rsidRDefault="00601113" w:rsidP="002D5159">
      <w:pPr>
        <w:spacing w:line="360" w:lineRule="auto"/>
        <w:jc w:val="both"/>
        <w:rPr>
          <w:rFonts w:ascii="Garamond" w:hAnsi="Garamond" w:cs="Times New Roman"/>
          <w:lang w:val="en-GB"/>
        </w:rPr>
      </w:pPr>
      <w:r>
        <w:rPr>
          <w:rFonts w:ascii="Garamond" w:hAnsi="Garamond" w:cs="Times New Roman"/>
          <w:lang w:val="en-GB"/>
        </w:rPr>
        <w:t>P</w:t>
      </w:r>
      <w:r w:rsidR="00611B3A">
        <w:rPr>
          <w:rFonts w:ascii="Garamond" w:hAnsi="Garamond" w:cs="Times New Roman"/>
          <w:lang w:val="en-GB"/>
        </w:rPr>
        <w:t xml:space="preserve">roduct </w:t>
      </w:r>
      <w:r>
        <w:rPr>
          <w:rFonts w:ascii="Garamond" w:hAnsi="Garamond" w:cs="Times New Roman"/>
          <w:lang w:val="en-GB"/>
        </w:rPr>
        <w:t>and geographic diversification by emerging market firms ha</w:t>
      </w:r>
      <w:r w:rsidR="00611B3A">
        <w:rPr>
          <w:rFonts w:ascii="Garamond" w:hAnsi="Garamond" w:cs="Times New Roman"/>
          <w:lang w:val="en-GB"/>
        </w:rPr>
        <w:t xml:space="preserve">s </w:t>
      </w:r>
      <w:r>
        <w:rPr>
          <w:rFonts w:ascii="Garamond" w:hAnsi="Garamond" w:cs="Times New Roman"/>
          <w:lang w:val="en-GB"/>
        </w:rPr>
        <w:t xml:space="preserve">been </w:t>
      </w:r>
      <w:r w:rsidR="00611B3A">
        <w:rPr>
          <w:rFonts w:ascii="Garamond" w:hAnsi="Garamond" w:cs="Times New Roman"/>
          <w:lang w:val="en-GB"/>
        </w:rPr>
        <w:t xml:space="preserve">a central and </w:t>
      </w:r>
      <w:r w:rsidR="00C95AAB">
        <w:rPr>
          <w:rFonts w:ascii="Garamond" w:hAnsi="Garamond" w:cs="Times New Roman"/>
          <w:lang w:val="en-GB"/>
        </w:rPr>
        <w:t xml:space="preserve">important research </w:t>
      </w:r>
      <w:r>
        <w:rPr>
          <w:rFonts w:ascii="Garamond" w:hAnsi="Garamond" w:cs="Times New Roman"/>
          <w:lang w:val="en-GB"/>
        </w:rPr>
        <w:t xml:space="preserve">area </w:t>
      </w:r>
      <w:r w:rsidR="00FA1C1C">
        <w:rPr>
          <w:rFonts w:ascii="Garamond" w:hAnsi="Garamond" w:cs="Times New Roman"/>
          <w:lang w:val="en-GB"/>
        </w:rPr>
        <w:t xml:space="preserve">within strategy studies </w:t>
      </w:r>
      <w:r w:rsidR="00C95AAB">
        <w:rPr>
          <w:rFonts w:ascii="Garamond" w:hAnsi="Garamond" w:cs="Times New Roman"/>
          <w:lang w:val="en-GB"/>
        </w:rPr>
        <w:t>(</w:t>
      </w:r>
      <w:r w:rsidR="00922CF3">
        <w:rPr>
          <w:rFonts w:ascii="Garamond" w:hAnsi="Garamond" w:cs="Times New Roman"/>
          <w:lang w:val="en-GB"/>
        </w:rPr>
        <w:t>Rumelt et al, 1994; Palich et al, 2000</w:t>
      </w:r>
      <w:r w:rsidR="00FA1C1C">
        <w:rPr>
          <w:rFonts w:ascii="Garamond" w:hAnsi="Garamond" w:cs="Times New Roman"/>
          <w:lang w:val="en-GB"/>
        </w:rPr>
        <w:t>; Leung and White, 2004</w:t>
      </w:r>
      <w:r w:rsidR="00922CF3">
        <w:rPr>
          <w:rFonts w:ascii="Garamond" w:hAnsi="Garamond" w:cs="Times New Roman"/>
          <w:lang w:val="en-GB"/>
        </w:rPr>
        <w:t xml:space="preserve">). </w:t>
      </w:r>
      <w:r w:rsidR="00FA1C1C">
        <w:rPr>
          <w:rFonts w:ascii="Garamond" w:hAnsi="Garamond" w:cs="Times New Roman"/>
          <w:lang w:val="en-GB"/>
        </w:rPr>
        <w:t>Three broad issues have been explored</w:t>
      </w:r>
      <w:r w:rsidR="008B4AB8">
        <w:rPr>
          <w:rFonts w:ascii="Garamond" w:hAnsi="Garamond" w:cs="Times New Roman"/>
          <w:lang w:val="en-GB"/>
        </w:rPr>
        <w:t>, all of them being largely related to</w:t>
      </w:r>
      <w:r w:rsidR="002A746C">
        <w:rPr>
          <w:rFonts w:ascii="Garamond" w:hAnsi="Garamond" w:cs="Times New Roman"/>
          <w:lang w:val="en-GB"/>
        </w:rPr>
        <w:t xml:space="preserve"> product, and only to a minor extent to </w:t>
      </w:r>
      <w:r w:rsidR="008B4AB8">
        <w:rPr>
          <w:rFonts w:ascii="Garamond" w:hAnsi="Garamond" w:cs="Times New Roman"/>
          <w:lang w:val="en-GB"/>
        </w:rPr>
        <w:t>geographic diversification</w:t>
      </w:r>
      <w:r w:rsidR="00FA1C1C">
        <w:rPr>
          <w:rFonts w:ascii="Garamond" w:hAnsi="Garamond" w:cs="Times New Roman"/>
          <w:lang w:val="en-GB"/>
        </w:rPr>
        <w:t xml:space="preserve">: </w:t>
      </w:r>
      <w:r w:rsidR="00FA1C1C">
        <w:rPr>
          <w:rFonts w:ascii="Garamond" w:hAnsi="Garamond" w:cs="Times New Roman"/>
          <w:lang w:val="en-GB"/>
        </w:rPr>
        <w:lastRenderedPageBreak/>
        <w:t xml:space="preserve">the motives and incentives for diversification; the extent to which diversification is context-specific; and the impact of diversification on performance. </w:t>
      </w:r>
      <w:r w:rsidR="00922CF3">
        <w:rPr>
          <w:rFonts w:ascii="Garamond" w:hAnsi="Garamond" w:cs="Times New Roman"/>
          <w:lang w:val="en-GB"/>
        </w:rPr>
        <w:t>The</w:t>
      </w:r>
      <w:r w:rsidR="00FA1C1C">
        <w:rPr>
          <w:rFonts w:ascii="Garamond" w:hAnsi="Garamond" w:cs="Times New Roman"/>
          <w:lang w:val="en-GB"/>
        </w:rPr>
        <w:t xml:space="preserve"> first</w:t>
      </w:r>
      <w:r w:rsidR="00922CF3">
        <w:rPr>
          <w:rFonts w:ascii="Garamond" w:hAnsi="Garamond" w:cs="Times New Roman"/>
          <w:lang w:val="en-GB"/>
        </w:rPr>
        <w:t xml:space="preserve"> issue of why firms diversify their product portfolio </w:t>
      </w:r>
      <w:r>
        <w:rPr>
          <w:rFonts w:ascii="Garamond" w:hAnsi="Garamond" w:cs="Times New Roman"/>
          <w:lang w:val="en-GB"/>
        </w:rPr>
        <w:t>(</w:t>
      </w:r>
      <w:r w:rsidR="00354297">
        <w:rPr>
          <w:rFonts w:ascii="Garamond" w:hAnsi="Garamond" w:cs="Times New Roman"/>
          <w:lang w:val="en-GB"/>
        </w:rPr>
        <w:t xml:space="preserve">both within and across industrial sectors) has been </w:t>
      </w:r>
      <w:r w:rsidR="00922CF3">
        <w:rPr>
          <w:rFonts w:ascii="Garamond" w:hAnsi="Garamond" w:cs="Times New Roman"/>
          <w:lang w:val="en-GB"/>
        </w:rPr>
        <w:t>domina</w:t>
      </w:r>
      <w:r w:rsidR="00354297">
        <w:rPr>
          <w:rFonts w:ascii="Garamond" w:hAnsi="Garamond" w:cs="Times New Roman"/>
          <w:lang w:val="en-GB"/>
        </w:rPr>
        <w:t>n</w:t>
      </w:r>
      <w:r w:rsidR="00922CF3">
        <w:rPr>
          <w:rFonts w:ascii="Garamond" w:hAnsi="Garamond" w:cs="Times New Roman"/>
          <w:lang w:val="en-GB"/>
        </w:rPr>
        <w:t xml:space="preserve">t in the literature, </w:t>
      </w:r>
      <w:r>
        <w:rPr>
          <w:rFonts w:ascii="Garamond" w:hAnsi="Garamond" w:cs="Times New Roman"/>
          <w:lang w:val="en-GB"/>
        </w:rPr>
        <w:t>and</w:t>
      </w:r>
      <w:r w:rsidR="00922CF3">
        <w:rPr>
          <w:rFonts w:ascii="Garamond" w:hAnsi="Garamond" w:cs="Times New Roman"/>
          <w:lang w:val="en-GB"/>
        </w:rPr>
        <w:t xml:space="preserve"> a number of explanations for product diversification</w:t>
      </w:r>
      <w:r>
        <w:rPr>
          <w:rFonts w:ascii="Garamond" w:hAnsi="Garamond" w:cs="Times New Roman"/>
          <w:lang w:val="en-GB"/>
        </w:rPr>
        <w:t xml:space="preserve"> have been identified. </w:t>
      </w:r>
      <w:r w:rsidR="00FA1C1C">
        <w:rPr>
          <w:rFonts w:ascii="Garamond" w:hAnsi="Garamond" w:cs="Times New Roman"/>
          <w:lang w:val="en-GB"/>
        </w:rPr>
        <w:t xml:space="preserve">Diversification </w:t>
      </w:r>
      <w:r>
        <w:rPr>
          <w:rFonts w:ascii="Garamond" w:hAnsi="Garamond" w:cs="Times New Roman"/>
          <w:lang w:val="en-GB"/>
        </w:rPr>
        <w:t>is</w:t>
      </w:r>
      <w:r w:rsidR="00922CF3">
        <w:rPr>
          <w:rFonts w:ascii="Garamond" w:hAnsi="Garamond" w:cs="Times New Roman"/>
          <w:lang w:val="en-GB"/>
        </w:rPr>
        <w:t xml:space="preserve"> </w:t>
      </w:r>
      <w:r w:rsidR="007F6A86">
        <w:rPr>
          <w:rFonts w:ascii="Garamond" w:hAnsi="Garamond" w:cs="Times New Roman"/>
          <w:lang w:val="en-GB"/>
        </w:rPr>
        <w:t xml:space="preserve">an efficiency-enhancing strategy, i.e. </w:t>
      </w:r>
      <w:r w:rsidR="00922CF3">
        <w:rPr>
          <w:rFonts w:ascii="Garamond" w:hAnsi="Garamond" w:cs="Times New Roman"/>
          <w:lang w:val="en-GB"/>
        </w:rPr>
        <w:t xml:space="preserve">a risk-spreading practice that firms adopt with the aim to </w:t>
      </w:r>
      <w:r w:rsidR="00354297">
        <w:rPr>
          <w:rFonts w:ascii="Garamond" w:hAnsi="Garamond" w:cs="Times New Roman"/>
          <w:lang w:val="en-GB"/>
        </w:rPr>
        <w:t>cope with the unpredictable and divergent profitability of different industrial sectors</w:t>
      </w:r>
      <w:r>
        <w:rPr>
          <w:rFonts w:ascii="Garamond" w:hAnsi="Garamond" w:cs="Times New Roman"/>
          <w:lang w:val="en-GB"/>
        </w:rPr>
        <w:t xml:space="preserve"> (Williamson, 1975; Gort, 1984)</w:t>
      </w:r>
      <w:r w:rsidR="00354297">
        <w:rPr>
          <w:rFonts w:ascii="Garamond" w:hAnsi="Garamond" w:cs="Times New Roman"/>
          <w:lang w:val="en-GB"/>
        </w:rPr>
        <w:t>.</w:t>
      </w:r>
      <w:r>
        <w:rPr>
          <w:rFonts w:ascii="Garamond" w:hAnsi="Garamond" w:cs="Times New Roman"/>
          <w:lang w:val="en-GB"/>
        </w:rPr>
        <w:t xml:space="preserve"> </w:t>
      </w:r>
      <w:r w:rsidR="00FA1C1C">
        <w:rPr>
          <w:rFonts w:ascii="Garamond" w:hAnsi="Garamond" w:cs="Times New Roman"/>
          <w:lang w:val="en-GB"/>
        </w:rPr>
        <w:t xml:space="preserve">However, competing explanations have been put forward, </w:t>
      </w:r>
      <w:r w:rsidR="007F6A86">
        <w:rPr>
          <w:rFonts w:ascii="Garamond" w:hAnsi="Garamond" w:cs="Times New Roman"/>
          <w:lang w:val="en-GB"/>
        </w:rPr>
        <w:t xml:space="preserve">which consider diversification as the result of managerial decisions aimed at increasing their own benefits (Jensen, 1986; Hoskisson and Hitt, 1990; Besanko et al, 2000). The second issue of context-specificity of diversification strategies by emerging market firms has been explored by Ramaswamy et al (2002) who studied the impact of ownership of Indian firms on diversification strategies. The third issue, i.e. the impact of diversification on performance has </w:t>
      </w:r>
      <w:r w:rsidR="008B4AB8">
        <w:rPr>
          <w:rFonts w:ascii="Garamond" w:hAnsi="Garamond" w:cs="Times New Roman"/>
          <w:lang w:val="en-GB"/>
        </w:rPr>
        <w:t xml:space="preserve">brought about </w:t>
      </w:r>
      <w:r w:rsidR="002A746C">
        <w:rPr>
          <w:rFonts w:ascii="Garamond" w:hAnsi="Garamond" w:cs="Times New Roman"/>
          <w:lang w:val="en-GB"/>
        </w:rPr>
        <w:t xml:space="preserve">mixed results. There is </w:t>
      </w:r>
      <w:r w:rsidR="008B4AB8">
        <w:rPr>
          <w:rFonts w:ascii="Garamond" w:hAnsi="Garamond" w:cs="Times New Roman"/>
          <w:lang w:val="en-GB"/>
        </w:rPr>
        <w:t>evide</w:t>
      </w:r>
      <w:r w:rsidR="00EB31E9">
        <w:rPr>
          <w:rFonts w:ascii="Garamond" w:hAnsi="Garamond" w:cs="Times New Roman"/>
          <w:lang w:val="en-GB"/>
        </w:rPr>
        <w:t>nce of positive but non-</w:t>
      </w:r>
      <w:r w:rsidR="008B4AB8">
        <w:rPr>
          <w:rFonts w:ascii="Garamond" w:hAnsi="Garamond" w:cs="Times New Roman"/>
          <w:lang w:val="en-GB"/>
        </w:rPr>
        <w:t>linear effects</w:t>
      </w:r>
      <w:r w:rsidR="002A746C">
        <w:rPr>
          <w:rFonts w:ascii="Garamond" w:hAnsi="Garamond" w:cs="Times New Roman"/>
          <w:lang w:val="en-GB"/>
        </w:rPr>
        <w:t xml:space="preserve"> of product diversification</w:t>
      </w:r>
      <w:r w:rsidR="008B4AB8">
        <w:rPr>
          <w:rFonts w:ascii="Garamond" w:hAnsi="Garamond" w:cs="Times New Roman"/>
          <w:lang w:val="en-GB"/>
        </w:rPr>
        <w:t xml:space="preserve">, as the benefits of increasing diversification are offset by </w:t>
      </w:r>
      <w:r w:rsidR="00EB31E9">
        <w:rPr>
          <w:rFonts w:ascii="Garamond" w:hAnsi="Garamond" w:cs="Times New Roman"/>
          <w:lang w:val="en-GB"/>
        </w:rPr>
        <w:t xml:space="preserve">the costs of </w:t>
      </w:r>
      <w:r w:rsidR="008B4AB8">
        <w:rPr>
          <w:rFonts w:ascii="Garamond" w:hAnsi="Garamond" w:cs="Times New Roman"/>
          <w:lang w:val="en-GB"/>
        </w:rPr>
        <w:t xml:space="preserve">rising organisational and </w:t>
      </w:r>
      <w:r w:rsidR="00EB31E9">
        <w:rPr>
          <w:rFonts w:ascii="Garamond" w:hAnsi="Garamond" w:cs="Times New Roman"/>
          <w:lang w:val="en-GB"/>
        </w:rPr>
        <w:t xml:space="preserve">managerial complexity, especially in the case of unrelated diversification </w:t>
      </w:r>
      <w:r w:rsidR="007F6A86">
        <w:rPr>
          <w:rFonts w:ascii="Garamond" w:hAnsi="Garamond" w:cs="Times New Roman"/>
          <w:lang w:val="en-GB"/>
        </w:rPr>
        <w:t>(Hoskisson and Hitt, 1990; Datta et al, 1991; Montgomery, 1994; Palich et al, 2000)</w:t>
      </w:r>
      <w:r w:rsidR="00EB31E9">
        <w:rPr>
          <w:rFonts w:ascii="Garamond" w:hAnsi="Garamond" w:cs="Times New Roman"/>
          <w:lang w:val="en-GB"/>
        </w:rPr>
        <w:t xml:space="preserve">. </w:t>
      </w:r>
      <w:r w:rsidR="002A746C">
        <w:rPr>
          <w:rFonts w:ascii="Garamond" w:hAnsi="Garamond" w:cs="Times New Roman"/>
          <w:lang w:val="en-GB"/>
        </w:rPr>
        <w:t xml:space="preserve">As regards geographic diversification, evidence shows that the impact on performance is even more complex, as </w:t>
      </w:r>
      <w:r w:rsidR="00EC6F9F">
        <w:rPr>
          <w:rFonts w:ascii="Garamond" w:hAnsi="Garamond" w:cs="Times New Roman"/>
          <w:lang w:val="en-GB"/>
        </w:rPr>
        <w:t>the latter declines at earlier stages of diversification, then increases but eventually declines at high levels of diversification (Grant et al ,1988; Datta et al, 1991; Hitt et al, 1997; Lu and Beamish, 2004).</w:t>
      </w:r>
    </w:p>
    <w:p w14:paraId="14A1107C" w14:textId="02022AE2" w:rsidR="00E6501D" w:rsidRDefault="00E6501D" w:rsidP="002D5159">
      <w:pPr>
        <w:spacing w:line="360" w:lineRule="auto"/>
        <w:jc w:val="both"/>
        <w:rPr>
          <w:rFonts w:ascii="Garamond" w:hAnsi="Garamond" w:cs="Times New Roman"/>
          <w:lang w:val="en-GB"/>
        </w:rPr>
      </w:pPr>
      <w:r>
        <w:rPr>
          <w:rFonts w:ascii="Garamond" w:hAnsi="Garamond" w:cs="Times New Roman"/>
          <w:lang w:val="en-GB"/>
        </w:rPr>
        <w:t xml:space="preserve">As regards the specific product and geographic diversification strategies of BGs from </w:t>
      </w:r>
      <w:r w:rsidRPr="000604BD">
        <w:rPr>
          <w:rFonts w:ascii="Garamond" w:hAnsi="Garamond" w:cs="Times New Roman"/>
          <w:lang w:val="en-GB"/>
        </w:rPr>
        <w:t xml:space="preserve">China </w:t>
      </w:r>
      <w:r>
        <w:rPr>
          <w:rFonts w:ascii="Garamond" w:hAnsi="Garamond" w:cs="Times New Roman"/>
          <w:lang w:val="en-GB"/>
        </w:rPr>
        <w:t xml:space="preserve">and India, previous research shows </w:t>
      </w:r>
      <w:r w:rsidRPr="000604BD">
        <w:rPr>
          <w:rFonts w:ascii="Garamond" w:hAnsi="Garamond" w:cs="Times New Roman"/>
          <w:lang w:val="en-GB"/>
        </w:rPr>
        <w:t>recent internationalisation effort</w:t>
      </w:r>
      <w:r>
        <w:rPr>
          <w:rFonts w:ascii="Garamond" w:hAnsi="Garamond" w:cs="Times New Roman"/>
          <w:lang w:val="en-GB"/>
        </w:rPr>
        <w:t>s</w:t>
      </w:r>
      <w:r w:rsidRPr="000604BD">
        <w:rPr>
          <w:rFonts w:ascii="Garamond" w:hAnsi="Garamond" w:cs="Times New Roman"/>
          <w:lang w:val="en-GB"/>
        </w:rPr>
        <w:t xml:space="preserve"> </w:t>
      </w:r>
      <w:r>
        <w:rPr>
          <w:rFonts w:ascii="Garamond" w:hAnsi="Garamond" w:cs="Times New Roman"/>
          <w:lang w:val="en-GB"/>
        </w:rPr>
        <w:t xml:space="preserve">by Chinese BGs, </w:t>
      </w:r>
      <w:r w:rsidRPr="000604BD">
        <w:rPr>
          <w:rFonts w:ascii="Garamond" w:hAnsi="Garamond" w:cs="Times New Roman"/>
          <w:lang w:val="en-GB"/>
        </w:rPr>
        <w:t>particularly in resource related industries,</w:t>
      </w:r>
      <w:r>
        <w:rPr>
          <w:rFonts w:ascii="Garamond" w:hAnsi="Garamond" w:cs="Times New Roman"/>
          <w:lang w:val="en-GB"/>
        </w:rPr>
        <w:t xml:space="preserve"> which often</w:t>
      </w:r>
      <w:r w:rsidRPr="000604BD">
        <w:rPr>
          <w:rFonts w:ascii="Garamond" w:hAnsi="Garamond" w:cs="Times New Roman"/>
          <w:lang w:val="en-GB"/>
        </w:rPr>
        <w:t xml:space="preserve"> face oppo</w:t>
      </w:r>
      <w:r>
        <w:rPr>
          <w:rFonts w:ascii="Garamond" w:hAnsi="Garamond" w:cs="Times New Roman"/>
          <w:lang w:val="en-GB"/>
        </w:rPr>
        <w:t>sition from overseas regulators, most frequently when investors are State-owned or controlled groups, although p</w:t>
      </w:r>
      <w:r w:rsidRPr="000604BD">
        <w:rPr>
          <w:rFonts w:ascii="Garamond" w:hAnsi="Garamond" w:cs="Times New Roman"/>
          <w:lang w:val="en-GB"/>
        </w:rPr>
        <w:t xml:space="preserve">rivate groups </w:t>
      </w:r>
      <w:r>
        <w:rPr>
          <w:rFonts w:ascii="Garamond" w:hAnsi="Garamond" w:cs="Times New Roman"/>
          <w:lang w:val="en-GB"/>
        </w:rPr>
        <w:t xml:space="preserve">are also pretty </w:t>
      </w:r>
      <w:r w:rsidRPr="000604BD">
        <w:rPr>
          <w:rFonts w:ascii="Garamond" w:hAnsi="Garamond" w:cs="Times New Roman"/>
          <w:lang w:val="en-GB"/>
        </w:rPr>
        <w:t>active in international growth.</w:t>
      </w:r>
      <w:r>
        <w:rPr>
          <w:rFonts w:ascii="Garamond" w:hAnsi="Garamond" w:cs="Times New Roman"/>
          <w:lang w:val="en-GB"/>
        </w:rPr>
        <w:t xml:space="preserve"> Product diversification levels have been consistent over time, because of stable industry holdings as well as of limited entry and exit in industry and product segments. As for Indian BGs, the 1990s witnessed a </w:t>
      </w:r>
      <w:r w:rsidRPr="000604BD">
        <w:rPr>
          <w:rFonts w:ascii="Garamond" w:hAnsi="Garamond" w:cs="Times New Roman"/>
          <w:lang w:val="en-GB"/>
        </w:rPr>
        <w:t>relatively nascent stage of international exp</w:t>
      </w:r>
      <w:r>
        <w:rPr>
          <w:rFonts w:ascii="Garamond" w:hAnsi="Garamond" w:cs="Times New Roman"/>
          <w:lang w:val="en-GB"/>
        </w:rPr>
        <w:t>ansion for group affiliates, followed by</w:t>
      </w:r>
      <w:r w:rsidRPr="000604BD">
        <w:rPr>
          <w:rFonts w:ascii="Garamond" w:hAnsi="Garamond" w:cs="Times New Roman"/>
          <w:lang w:val="en-GB"/>
        </w:rPr>
        <w:t xml:space="preserve"> recent acceleration in later half of 2000s with many high profile international acquisitions</w:t>
      </w:r>
      <w:r>
        <w:rPr>
          <w:rFonts w:ascii="Garamond" w:hAnsi="Garamond" w:cs="Times New Roman"/>
          <w:lang w:val="en-GB"/>
        </w:rPr>
        <w:t>. India hosts both narrowly focused groups and highly product diversified, with very high levels of diversification among the most widely diversified groups. Indian BGs are among the most diversified worldwide (second only to Chilean BGs in a comparison among 9 emerging economies over the 1990s) also according to Khanna and Yafeh (2007), who measure the group product diversification as the number of two-digit industries in which the group operates.</w:t>
      </w:r>
    </w:p>
    <w:p w14:paraId="7CCADB87" w14:textId="05952BD9" w:rsidR="00B6651E" w:rsidRDefault="00171611" w:rsidP="002D5159">
      <w:pPr>
        <w:spacing w:line="360" w:lineRule="auto"/>
        <w:jc w:val="both"/>
        <w:rPr>
          <w:rFonts w:ascii="Garamond" w:hAnsi="Garamond" w:cs="Times New Roman"/>
          <w:lang w:val="en-GB"/>
        </w:rPr>
      </w:pPr>
      <w:r>
        <w:rPr>
          <w:rFonts w:ascii="Garamond" w:hAnsi="Garamond" w:cs="Times New Roman"/>
          <w:lang w:val="en-GB"/>
        </w:rPr>
        <w:t>A f</w:t>
      </w:r>
      <w:r w:rsidR="006867BB">
        <w:rPr>
          <w:rFonts w:ascii="Garamond" w:hAnsi="Garamond" w:cs="Times New Roman"/>
          <w:lang w:val="en-GB"/>
        </w:rPr>
        <w:t>urther issue that ha</w:t>
      </w:r>
      <w:r>
        <w:rPr>
          <w:rFonts w:ascii="Garamond" w:hAnsi="Garamond" w:cs="Times New Roman"/>
          <w:lang w:val="en-GB"/>
        </w:rPr>
        <w:t>s</w:t>
      </w:r>
      <w:r w:rsidR="006867BB">
        <w:rPr>
          <w:rFonts w:ascii="Garamond" w:hAnsi="Garamond" w:cs="Times New Roman"/>
          <w:lang w:val="en-GB"/>
        </w:rPr>
        <w:t xml:space="preserve"> be</w:t>
      </w:r>
      <w:r>
        <w:rPr>
          <w:rFonts w:ascii="Garamond" w:hAnsi="Garamond" w:cs="Times New Roman"/>
          <w:lang w:val="en-GB"/>
        </w:rPr>
        <w:t>en explored by the literature is</w:t>
      </w:r>
      <w:r w:rsidR="006867BB">
        <w:rPr>
          <w:rFonts w:ascii="Garamond" w:hAnsi="Garamond" w:cs="Times New Roman"/>
          <w:lang w:val="en-GB"/>
        </w:rPr>
        <w:t xml:space="preserve"> the evolution of BGs</w:t>
      </w:r>
      <w:r w:rsidR="00A74FCA">
        <w:rPr>
          <w:rFonts w:ascii="Garamond" w:hAnsi="Garamond" w:cs="Times New Roman"/>
          <w:lang w:val="en-GB"/>
        </w:rPr>
        <w:t xml:space="preserve">’ diversification </w:t>
      </w:r>
      <w:r>
        <w:rPr>
          <w:rFonts w:ascii="Garamond" w:hAnsi="Garamond" w:cs="Times New Roman"/>
          <w:lang w:val="en-GB"/>
        </w:rPr>
        <w:t xml:space="preserve">strategies due to the interplay between </w:t>
      </w:r>
      <w:r w:rsidR="006867BB">
        <w:rPr>
          <w:rFonts w:ascii="Garamond" w:hAnsi="Garamond" w:cs="Times New Roman"/>
          <w:lang w:val="en-GB"/>
        </w:rPr>
        <w:t xml:space="preserve">institutional developments in their home economies and capabilities development by the groups themselves. </w:t>
      </w:r>
      <w:r>
        <w:rPr>
          <w:rFonts w:ascii="Garamond" w:hAnsi="Garamond" w:cs="Times New Roman"/>
          <w:lang w:val="en-GB"/>
        </w:rPr>
        <w:t xml:space="preserve">More specifically, </w:t>
      </w:r>
      <w:r w:rsidR="00E622CE">
        <w:rPr>
          <w:rFonts w:ascii="Garamond" w:hAnsi="Garamond" w:cs="Times New Roman"/>
          <w:lang w:val="en-GB"/>
        </w:rPr>
        <w:t xml:space="preserve">building on Guillén (2010), </w:t>
      </w:r>
      <w:r>
        <w:rPr>
          <w:rFonts w:ascii="Garamond" w:hAnsi="Garamond" w:cs="Times New Roman"/>
          <w:lang w:val="en-GB"/>
        </w:rPr>
        <w:t xml:space="preserve">Dalios and Ma (2010) distinguish </w:t>
      </w:r>
      <w:r w:rsidR="005533E7">
        <w:rPr>
          <w:rFonts w:ascii="Garamond" w:hAnsi="Garamond" w:cs="Times New Roman"/>
          <w:lang w:val="en-GB"/>
        </w:rPr>
        <w:t xml:space="preserve">groups according to different types of capabilities, and argue there is a sequence in capability development from </w:t>
      </w:r>
      <w:r w:rsidR="00E069F4">
        <w:rPr>
          <w:rFonts w:ascii="Garamond" w:hAnsi="Garamond" w:cs="Times New Roman"/>
          <w:lang w:val="en-GB"/>
        </w:rPr>
        <w:t>generic, i.e. non product specific capabilities (such as generic ‘contact capabilities’ (…) and ‘project execution capabilities’ (…)), to more product specific organisational and technological capabilities</w:t>
      </w:r>
      <w:r w:rsidR="005533E7">
        <w:rPr>
          <w:rFonts w:ascii="Garamond" w:hAnsi="Garamond" w:cs="Times New Roman"/>
          <w:lang w:val="en-GB"/>
        </w:rPr>
        <w:t>.</w:t>
      </w:r>
      <w:r>
        <w:rPr>
          <w:rFonts w:ascii="Garamond" w:hAnsi="Garamond" w:cs="Times New Roman"/>
          <w:lang w:val="en-GB"/>
        </w:rPr>
        <w:t xml:space="preserve"> </w:t>
      </w:r>
      <w:r w:rsidR="00E622CE">
        <w:rPr>
          <w:rFonts w:ascii="Garamond" w:hAnsi="Garamond" w:cs="Times New Roman"/>
          <w:lang w:val="en-GB"/>
        </w:rPr>
        <w:t>Moreover, building on Schneider (2010), t</w:t>
      </w:r>
      <w:r w:rsidR="001A0203">
        <w:rPr>
          <w:rFonts w:ascii="Garamond" w:hAnsi="Garamond" w:cs="Times New Roman"/>
          <w:lang w:val="en-GB"/>
        </w:rPr>
        <w:t xml:space="preserve">hey also distinguish among different types of BGs according to the prevalence of either type of capabilities, and tentatively place nations into such typology, although different categories might not necessarily be mutually exclusive and groups within a country will vary according to capabilities and finally because the types of capabilities </w:t>
      </w:r>
      <w:r w:rsidR="001A0203">
        <w:rPr>
          <w:rFonts w:ascii="Garamond" w:hAnsi="Garamond" w:cs="Times New Roman"/>
          <w:lang w:val="en-GB"/>
        </w:rPr>
        <w:lastRenderedPageBreak/>
        <w:t xml:space="preserve">will vary within a group. Such typology includes ‘policy-induced’ groups with a prevalence of contact capabilities, ‘portfolio’ groups in countries where generic capabilities prevail, ‘organic’ groups in countries where more specific capabilities </w:t>
      </w:r>
      <w:r w:rsidR="00E622CE">
        <w:rPr>
          <w:rFonts w:ascii="Garamond" w:hAnsi="Garamond" w:cs="Times New Roman"/>
          <w:lang w:val="en-GB"/>
        </w:rPr>
        <w:t xml:space="preserve">are widespread. </w:t>
      </w:r>
      <w:r w:rsidR="00C76889">
        <w:rPr>
          <w:rFonts w:ascii="Garamond" w:hAnsi="Garamond" w:cs="Times New Roman"/>
          <w:lang w:val="en-GB"/>
        </w:rPr>
        <w:t xml:space="preserve">This typology suggests that the degree of product diversification will depend on the composition of the different types of capabilities within a BG; the higher the generic vs the specific capabilities, the more diversified a BG will be. </w:t>
      </w:r>
      <w:r w:rsidR="00E622CE">
        <w:rPr>
          <w:rFonts w:ascii="Garamond" w:hAnsi="Garamond" w:cs="Times New Roman"/>
          <w:lang w:val="en-GB"/>
        </w:rPr>
        <w:t>According to their typology, Chinese BGs follow into the ‘policy-induced’ category with ‘contact’ capabilities, whereas Indian BGs belong to the ‘portfolio’ category with generic capabilities.</w:t>
      </w:r>
    </w:p>
    <w:p w14:paraId="2D85834A" w14:textId="7DD5920C" w:rsidR="006867BB" w:rsidRPr="000604BD" w:rsidRDefault="000968BE" w:rsidP="002D5159">
      <w:pPr>
        <w:spacing w:line="360" w:lineRule="auto"/>
        <w:jc w:val="both"/>
        <w:rPr>
          <w:rFonts w:ascii="Garamond" w:hAnsi="Garamond" w:cs="Times New Roman"/>
          <w:lang w:val="en-GB"/>
        </w:rPr>
      </w:pPr>
      <w:r>
        <w:rPr>
          <w:rFonts w:ascii="Garamond" w:hAnsi="Garamond" w:cs="Times New Roman"/>
          <w:lang w:val="en-GB"/>
        </w:rPr>
        <w:t>Among the institutional developments that can have an impact on emerging economies’ BGs’</w:t>
      </w:r>
      <w:r w:rsidR="00D560D9">
        <w:rPr>
          <w:rFonts w:ascii="Garamond" w:hAnsi="Garamond" w:cs="Times New Roman"/>
          <w:lang w:val="en-GB"/>
        </w:rPr>
        <w:t xml:space="preserve"> diversification strategies</w:t>
      </w:r>
      <w:r>
        <w:rPr>
          <w:rFonts w:ascii="Garamond" w:hAnsi="Garamond" w:cs="Times New Roman"/>
          <w:lang w:val="en-GB"/>
        </w:rPr>
        <w:t xml:space="preserve">, the degree of competition in the domestic market has been identified as a relevant driver of the changing incentives to diversification. </w:t>
      </w:r>
      <w:r w:rsidR="00171611">
        <w:rPr>
          <w:rFonts w:ascii="Garamond" w:hAnsi="Garamond" w:cs="Times New Roman"/>
          <w:lang w:val="en-GB"/>
        </w:rPr>
        <w:t xml:space="preserve">Imperfect markets and a low degree of competition open up opportunities for more profitable activities in a variety of sectors. </w:t>
      </w:r>
      <w:r>
        <w:rPr>
          <w:rFonts w:ascii="Garamond" w:hAnsi="Garamond" w:cs="Times New Roman"/>
          <w:lang w:val="en-GB"/>
        </w:rPr>
        <w:t xml:space="preserve">As </w:t>
      </w:r>
      <w:r w:rsidR="00171611">
        <w:rPr>
          <w:rFonts w:ascii="Garamond" w:hAnsi="Garamond" w:cs="Times New Roman"/>
          <w:lang w:val="en-GB"/>
        </w:rPr>
        <w:t xml:space="preserve">institutions become stronger and market imperfections decline, </w:t>
      </w:r>
      <w:r w:rsidR="00D560D9">
        <w:rPr>
          <w:rFonts w:ascii="Garamond" w:hAnsi="Garamond" w:cs="Times New Roman"/>
          <w:lang w:val="en-GB"/>
        </w:rPr>
        <w:t xml:space="preserve">generic capabilities become less and less profitable and the need increases to invest in specific capabilities, and therefore also the product relatedness rises. This would suggest that increasing competition within a country over time should tend to reduce the incentives of that country’s BGs to diversify their product portfolios. Moreover, countries with higher degrees of competition should host less diversified BGs. </w:t>
      </w:r>
    </w:p>
    <w:p w14:paraId="1F4153C8" w14:textId="68406A13" w:rsidR="009E6583" w:rsidRPr="000604BD" w:rsidRDefault="00C76889" w:rsidP="00F0510D">
      <w:pPr>
        <w:spacing w:line="360" w:lineRule="auto"/>
        <w:jc w:val="both"/>
        <w:rPr>
          <w:rFonts w:ascii="Garamond" w:hAnsi="Garamond" w:cs="Times New Roman"/>
          <w:lang w:val="en-GB"/>
        </w:rPr>
      </w:pPr>
      <w:r>
        <w:rPr>
          <w:rFonts w:ascii="Garamond" w:hAnsi="Garamond" w:cs="Times New Roman"/>
          <w:lang w:val="en-GB"/>
        </w:rPr>
        <w:t xml:space="preserve">Comparatively much less research has been devoted to build a conceptual framework to study the geographical diversification strategies of BGs. In the next section we turn to analysing the </w:t>
      </w:r>
      <w:r w:rsidR="00F0510D">
        <w:rPr>
          <w:rFonts w:ascii="Garamond" w:hAnsi="Garamond" w:cs="Times New Roman"/>
          <w:lang w:val="en-GB"/>
        </w:rPr>
        <w:t xml:space="preserve">patterns of diversification of Chinese and Indian BGs in Europe, </w:t>
      </w:r>
      <w:r w:rsidR="008F4C20">
        <w:rPr>
          <w:rFonts w:ascii="Garamond" w:hAnsi="Garamond" w:cs="Times New Roman"/>
          <w:lang w:val="en-GB"/>
        </w:rPr>
        <w:t>through a typology that jointly considers product and geographical diversification.</w:t>
      </w:r>
    </w:p>
    <w:p w14:paraId="2837DFF2" w14:textId="77777777" w:rsidR="009E6583" w:rsidRPr="000604BD" w:rsidRDefault="009E6583" w:rsidP="002D5159">
      <w:pPr>
        <w:rPr>
          <w:rFonts w:ascii="Garamond" w:hAnsi="Garamond" w:cs="Times New Roman"/>
          <w:lang w:val="en-GB"/>
        </w:rPr>
      </w:pPr>
    </w:p>
    <w:p w14:paraId="02971AEA" w14:textId="77777777" w:rsidR="009E6583" w:rsidRPr="000604BD" w:rsidRDefault="009E6583" w:rsidP="002D5159">
      <w:pPr>
        <w:rPr>
          <w:rFonts w:ascii="Garamond" w:hAnsi="Garamond" w:cs="Times New Roman"/>
          <w:lang w:val="en-GB"/>
        </w:rPr>
      </w:pPr>
    </w:p>
    <w:p w14:paraId="7C3404C8" w14:textId="22BE60B6" w:rsidR="00D87FFA" w:rsidRPr="000604BD" w:rsidRDefault="0082365D" w:rsidP="00443A7F">
      <w:pPr>
        <w:pStyle w:val="ListParagraph"/>
        <w:numPr>
          <w:ilvl w:val="0"/>
          <w:numId w:val="3"/>
        </w:numPr>
        <w:ind w:left="357" w:hanging="357"/>
        <w:rPr>
          <w:rFonts w:ascii="Garamond" w:hAnsi="Garamond" w:cs="Times New Roman"/>
          <w:b/>
          <w:sz w:val="28"/>
          <w:szCs w:val="28"/>
          <w:lang w:val="en-GB"/>
        </w:rPr>
      </w:pPr>
      <w:r w:rsidRPr="000604BD">
        <w:rPr>
          <w:rFonts w:ascii="Garamond" w:hAnsi="Garamond" w:cs="Times New Roman"/>
          <w:b/>
          <w:sz w:val="28"/>
          <w:szCs w:val="28"/>
          <w:lang w:val="en-GB"/>
        </w:rPr>
        <w:t>Chinese and Indian Business Groups entering Europe</w:t>
      </w:r>
      <w:r w:rsidR="00D87FFA" w:rsidRPr="000604BD">
        <w:rPr>
          <w:rFonts w:ascii="Garamond" w:hAnsi="Garamond" w:cs="Times New Roman"/>
          <w:b/>
          <w:sz w:val="28"/>
          <w:szCs w:val="28"/>
          <w:lang w:val="en-GB"/>
        </w:rPr>
        <w:t xml:space="preserve">: </w:t>
      </w:r>
      <w:r w:rsidR="00C467A9" w:rsidRPr="000604BD">
        <w:rPr>
          <w:rFonts w:ascii="Garamond" w:hAnsi="Garamond" w:cs="Times New Roman"/>
          <w:b/>
          <w:sz w:val="28"/>
          <w:szCs w:val="28"/>
          <w:lang w:val="en-GB"/>
        </w:rPr>
        <w:t xml:space="preserve">entry modes, </w:t>
      </w:r>
      <w:r w:rsidR="00D87FFA" w:rsidRPr="000604BD">
        <w:rPr>
          <w:rFonts w:ascii="Garamond" w:hAnsi="Garamond" w:cs="Times New Roman"/>
          <w:b/>
          <w:sz w:val="28"/>
          <w:szCs w:val="28"/>
          <w:lang w:val="en-GB"/>
        </w:rPr>
        <w:t>country and industry patterns</w:t>
      </w:r>
    </w:p>
    <w:p w14:paraId="72A854BB" w14:textId="77777777" w:rsidR="00D87FFA" w:rsidRPr="000604BD" w:rsidRDefault="00D87FFA" w:rsidP="00D87FFA">
      <w:pPr>
        <w:pStyle w:val="ListParagraph"/>
        <w:ind w:left="1080"/>
        <w:rPr>
          <w:rFonts w:ascii="Garamond" w:hAnsi="Garamond" w:cs="Times New Roman"/>
          <w:b/>
          <w:lang w:val="en-GB"/>
        </w:rPr>
      </w:pPr>
    </w:p>
    <w:p w14:paraId="3F5CF490" w14:textId="77777777" w:rsidR="00EE2406" w:rsidRPr="000604BD" w:rsidRDefault="00832EA9" w:rsidP="00B456E0">
      <w:pPr>
        <w:spacing w:line="360" w:lineRule="auto"/>
        <w:jc w:val="both"/>
        <w:rPr>
          <w:rFonts w:ascii="Garamond" w:hAnsi="Garamond" w:cs="Times New Roman"/>
          <w:lang w:val="en-GB"/>
        </w:rPr>
      </w:pPr>
      <w:r w:rsidRPr="000604BD">
        <w:rPr>
          <w:rFonts w:ascii="Garamond" w:hAnsi="Garamond" w:cs="Times New Roman"/>
          <w:lang w:val="en-GB"/>
        </w:rPr>
        <w:t>In this section we describe the investment activities of Chinese and Indian firms in Europe with firm-level evidence</w:t>
      </w:r>
      <w:r w:rsidR="002F5575" w:rsidRPr="000604BD">
        <w:rPr>
          <w:rFonts w:ascii="Garamond" w:hAnsi="Garamond" w:cs="Times New Roman"/>
          <w:lang w:val="en-GB"/>
        </w:rPr>
        <w:t xml:space="preserve"> on</w:t>
      </w:r>
      <w:r w:rsidR="00AD3347" w:rsidRPr="000604BD">
        <w:rPr>
          <w:rFonts w:ascii="Garamond" w:hAnsi="Garamond" w:cs="Times New Roman"/>
          <w:lang w:val="en-GB"/>
        </w:rPr>
        <w:t xml:space="preserve"> investing firms</w:t>
      </w:r>
      <w:r w:rsidRPr="000604BD">
        <w:rPr>
          <w:rFonts w:ascii="Garamond" w:hAnsi="Garamond" w:cs="Times New Roman"/>
          <w:lang w:val="en-GB"/>
        </w:rPr>
        <w:t xml:space="preserve"> organised </w:t>
      </w:r>
      <w:r w:rsidR="00AD3347" w:rsidRPr="000604BD">
        <w:rPr>
          <w:rFonts w:ascii="Garamond" w:hAnsi="Garamond" w:cs="Times New Roman"/>
          <w:lang w:val="en-GB"/>
        </w:rPr>
        <w:t xml:space="preserve">by taking the BG they belong to as a unit of analysis. </w:t>
      </w:r>
      <w:r w:rsidR="002F5575" w:rsidRPr="000604BD">
        <w:rPr>
          <w:rFonts w:ascii="Garamond" w:hAnsi="Garamond" w:cs="Times New Roman"/>
          <w:lang w:val="en-GB"/>
        </w:rPr>
        <w:t>First, w</w:t>
      </w:r>
      <w:r w:rsidR="00AD3347" w:rsidRPr="000604BD">
        <w:rPr>
          <w:rFonts w:ascii="Garamond" w:hAnsi="Garamond" w:cs="Times New Roman"/>
          <w:lang w:val="en-GB"/>
        </w:rPr>
        <w:t xml:space="preserve">e will put Chinese and Indian FDI in Europe in </w:t>
      </w:r>
      <w:r w:rsidR="002F5575" w:rsidRPr="000604BD">
        <w:rPr>
          <w:rFonts w:ascii="Garamond" w:hAnsi="Garamond" w:cs="Times New Roman"/>
          <w:lang w:val="en-GB"/>
        </w:rPr>
        <w:t xml:space="preserve">a broad </w:t>
      </w:r>
      <w:r w:rsidR="00AD3347" w:rsidRPr="000604BD">
        <w:rPr>
          <w:rFonts w:ascii="Garamond" w:hAnsi="Garamond" w:cs="Times New Roman"/>
          <w:lang w:val="en-GB"/>
        </w:rPr>
        <w:t xml:space="preserve">international perspective </w:t>
      </w:r>
      <w:r w:rsidR="002F5575" w:rsidRPr="000604BD">
        <w:rPr>
          <w:rFonts w:ascii="Garamond" w:hAnsi="Garamond" w:cs="Times New Roman"/>
          <w:lang w:val="en-GB"/>
        </w:rPr>
        <w:t xml:space="preserve">so as to be able to assess the position of Europe in their </w:t>
      </w:r>
      <w:r w:rsidR="0050655A" w:rsidRPr="000604BD">
        <w:rPr>
          <w:rFonts w:ascii="Garamond" w:hAnsi="Garamond" w:cs="Times New Roman"/>
          <w:lang w:val="en-GB"/>
        </w:rPr>
        <w:t xml:space="preserve">overall </w:t>
      </w:r>
      <w:r w:rsidR="002F5575" w:rsidRPr="000604BD">
        <w:rPr>
          <w:rFonts w:ascii="Garamond" w:hAnsi="Garamond" w:cs="Times New Roman"/>
          <w:lang w:val="en-GB"/>
        </w:rPr>
        <w:t xml:space="preserve">internationalisation strategies </w:t>
      </w:r>
      <w:r w:rsidR="00AD3347" w:rsidRPr="000604BD">
        <w:rPr>
          <w:rFonts w:ascii="Garamond" w:hAnsi="Garamond" w:cs="Times New Roman"/>
          <w:lang w:val="en-GB"/>
        </w:rPr>
        <w:t xml:space="preserve">and then </w:t>
      </w:r>
      <w:r w:rsidR="002F5575" w:rsidRPr="000604BD">
        <w:rPr>
          <w:rFonts w:ascii="Garamond" w:hAnsi="Garamond" w:cs="Times New Roman"/>
          <w:lang w:val="en-GB"/>
        </w:rPr>
        <w:t xml:space="preserve">we will </w:t>
      </w:r>
      <w:r w:rsidR="00C467A9" w:rsidRPr="000604BD">
        <w:rPr>
          <w:rFonts w:ascii="Garamond" w:hAnsi="Garamond" w:cs="Times New Roman"/>
          <w:lang w:val="en-GB"/>
        </w:rPr>
        <w:t>focus on</w:t>
      </w:r>
      <w:r w:rsidR="00AD3347" w:rsidRPr="000604BD">
        <w:rPr>
          <w:rFonts w:ascii="Garamond" w:hAnsi="Garamond" w:cs="Times New Roman"/>
          <w:lang w:val="en-GB"/>
        </w:rPr>
        <w:t xml:space="preserve"> Europe as a major foreign location chosen by Chinese and Indian BGs to divers</w:t>
      </w:r>
      <w:r w:rsidR="0050655A" w:rsidRPr="000604BD">
        <w:rPr>
          <w:rFonts w:ascii="Garamond" w:hAnsi="Garamond" w:cs="Times New Roman"/>
          <w:lang w:val="en-GB"/>
        </w:rPr>
        <w:t>ify their production activities outside of Asia.</w:t>
      </w:r>
      <w:r w:rsidR="00CE2E92" w:rsidRPr="000604BD">
        <w:rPr>
          <w:rFonts w:ascii="Garamond" w:hAnsi="Garamond" w:cs="Times New Roman"/>
          <w:lang w:val="en-GB"/>
        </w:rPr>
        <w:t xml:space="preserve"> </w:t>
      </w:r>
    </w:p>
    <w:p w14:paraId="498F40F3" w14:textId="00BBA81C" w:rsidR="00832EA9" w:rsidRPr="000604BD" w:rsidRDefault="004A3F65" w:rsidP="00445272">
      <w:pPr>
        <w:autoSpaceDE w:val="0"/>
        <w:autoSpaceDN w:val="0"/>
        <w:adjustRightInd w:val="0"/>
        <w:spacing w:line="360" w:lineRule="auto"/>
        <w:ind w:right="-7"/>
        <w:jc w:val="both"/>
        <w:rPr>
          <w:rFonts w:ascii="Garamond" w:hAnsi="Garamond" w:cs="Times New Roman"/>
          <w:lang w:val="en-GB"/>
        </w:rPr>
      </w:pPr>
      <w:r w:rsidRPr="000604BD">
        <w:rPr>
          <w:rFonts w:ascii="Garamond" w:hAnsi="Garamond" w:cs="Times New Roman"/>
          <w:lang w:val="en-GB"/>
        </w:rPr>
        <w:t xml:space="preserve">Although Asia has always been the top destination for the overall outward expansion of Chinese and Indian firms, Europe has recently emerged as a favourite destination for many of the EMNEs from the two largest emerging economies of Asia. In particular, when looking at the number of FDI, Europe is the second largest destination for Chinese investors (30%  -- 26% in EU only -- of the total, corresponding to 921 -- 777 in EU only -- deals), after Asia (with 39%, corresponding to 1,166 deals). When differentiating by type of deals, Europe is the first destination for greenfield investments, closely followed by Asia, which is instead the main destination for M&amp;A, followed by North America. Also for Indian investors, Asia is the main destination with 1,396 deals, corresponding to 38% on the total and the European Union follows with 24% of total deals. Unlike China, Europe is the favourite destination </w:t>
      </w:r>
      <w:r w:rsidRPr="000604BD">
        <w:rPr>
          <w:rFonts w:ascii="Garamond" w:hAnsi="Garamond" w:cs="Times New Roman"/>
          <w:lang w:val="en-GB"/>
        </w:rPr>
        <w:lastRenderedPageBreak/>
        <w:t xml:space="preserve">for Indian acquisitions with 34% of total M&amp;A, closely followed by Northern and Central America with 33%, while Asia is the top destination for greenfield investments (almost half of the total). </w:t>
      </w:r>
      <w:r w:rsidR="00CE2E92" w:rsidRPr="000604BD">
        <w:rPr>
          <w:rFonts w:ascii="Garamond" w:hAnsi="Garamond" w:cs="Times New Roman"/>
          <w:lang w:val="en-GB"/>
        </w:rPr>
        <w:t>A major advantage of relying on firm-level data is that they allow for a much more accurate picture of the foreign investment patterns compared to the distribution suggested by aggregate BoP-based data, which shows Asia accounting for 71% of the total stock of Chinese FDI, and North America and Europe together receiving slightly over 10%.</w:t>
      </w:r>
    </w:p>
    <w:p w14:paraId="41A302C8" w14:textId="77777777" w:rsidR="00C467A9" w:rsidRPr="000604BD" w:rsidRDefault="00C467A9" w:rsidP="00B456E0">
      <w:pPr>
        <w:spacing w:line="360" w:lineRule="auto"/>
        <w:jc w:val="both"/>
        <w:rPr>
          <w:rFonts w:ascii="Garamond" w:hAnsi="Garamond" w:cs="Times New Roman"/>
          <w:lang w:val="en-GB"/>
        </w:rPr>
      </w:pPr>
    </w:p>
    <w:p w14:paraId="152E9CBA" w14:textId="785A7763" w:rsidR="00C467A9" w:rsidRPr="000604BD" w:rsidRDefault="00C467A9" w:rsidP="00B456E0">
      <w:pPr>
        <w:spacing w:line="360" w:lineRule="auto"/>
        <w:jc w:val="both"/>
        <w:rPr>
          <w:rFonts w:ascii="Garamond" w:hAnsi="Garamond" w:cs="Times New Roman"/>
          <w:b/>
          <w:i/>
          <w:lang w:val="en-GB"/>
        </w:rPr>
      </w:pPr>
      <w:r w:rsidRPr="000604BD">
        <w:rPr>
          <w:rFonts w:ascii="Garamond" w:hAnsi="Garamond" w:cs="Times New Roman"/>
          <w:b/>
          <w:i/>
          <w:lang w:val="en-GB"/>
        </w:rPr>
        <w:t>Entry modes</w:t>
      </w:r>
    </w:p>
    <w:p w14:paraId="68AE2802" w14:textId="60AA15EE" w:rsidR="0075385C" w:rsidRPr="000604BD" w:rsidRDefault="00B456E0" w:rsidP="00B456E0">
      <w:pPr>
        <w:spacing w:line="360" w:lineRule="auto"/>
        <w:jc w:val="both"/>
        <w:rPr>
          <w:rFonts w:ascii="Garamond" w:hAnsi="Garamond" w:cs="Times New Roman"/>
          <w:lang w:val="en-GB"/>
        </w:rPr>
      </w:pPr>
      <w:r w:rsidRPr="000604BD">
        <w:rPr>
          <w:rFonts w:ascii="Garamond" w:hAnsi="Garamond" w:cs="Times New Roman"/>
          <w:lang w:val="en-GB"/>
        </w:rPr>
        <w:t xml:space="preserve">Although the overseas expansion of emerging market firms, </w:t>
      </w:r>
      <w:r w:rsidR="002F5575" w:rsidRPr="000604BD">
        <w:rPr>
          <w:rFonts w:ascii="Garamond" w:hAnsi="Garamond" w:cs="Times New Roman"/>
          <w:lang w:val="en-GB"/>
        </w:rPr>
        <w:t xml:space="preserve">especially </w:t>
      </w:r>
      <w:r w:rsidRPr="000604BD">
        <w:rPr>
          <w:rFonts w:ascii="Garamond" w:hAnsi="Garamond" w:cs="Times New Roman"/>
          <w:lang w:val="en-GB"/>
        </w:rPr>
        <w:t>Chinese and Indian</w:t>
      </w:r>
      <w:r w:rsidR="002F5575" w:rsidRPr="000604BD">
        <w:rPr>
          <w:rFonts w:ascii="Garamond" w:hAnsi="Garamond" w:cs="Times New Roman"/>
          <w:lang w:val="en-GB"/>
        </w:rPr>
        <w:t xml:space="preserve"> ones</w:t>
      </w:r>
      <w:r w:rsidRPr="000604BD">
        <w:rPr>
          <w:rFonts w:ascii="Garamond" w:hAnsi="Garamond" w:cs="Times New Roman"/>
          <w:lang w:val="en-GB"/>
        </w:rPr>
        <w:t xml:space="preserve">, has invariably </w:t>
      </w:r>
      <w:r w:rsidR="002F5575" w:rsidRPr="000604BD">
        <w:rPr>
          <w:rFonts w:ascii="Garamond" w:hAnsi="Garamond" w:cs="Times New Roman"/>
          <w:lang w:val="en-GB"/>
        </w:rPr>
        <w:t xml:space="preserve">been </w:t>
      </w:r>
      <w:r w:rsidRPr="000604BD">
        <w:rPr>
          <w:rFonts w:ascii="Garamond" w:hAnsi="Garamond" w:cs="Times New Roman"/>
          <w:lang w:val="en-GB"/>
        </w:rPr>
        <w:t xml:space="preserve">attracting the </w:t>
      </w:r>
      <w:r w:rsidR="002F5575" w:rsidRPr="000604BD">
        <w:rPr>
          <w:rFonts w:ascii="Garamond" w:hAnsi="Garamond" w:cs="Times New Roman"/>
          <w:lang w:val="en-GB"/>
        </w:rPr>
        <w:t>greatest</w:t>
      </w:r>
      <w:r w:rsidRPr="000604BD">
        <w:rPr>
          <w:rFonts w:ascii="Garamond" w:hAnsi="Garamond" w:cs="Times New Roman"/>
          <w:lang w:val="en-GB"/>
        </w:rPr>
        <w:t xml:space="preserve"> attention at times of large acquisitions of foreign firms, M&amp;A are not the most preferred type of foreign expansion for those investors. Instead, the establishment of wholly owned subsidiaries has largely outnumbered M&amp;A</w:t>
      </w:r>
      <w:r w:rsidR="0075385C" w:rsidRPr="000604BD">
        <w:rPr>
          <w:rFonts w:ascii="Garamond" w:hAnsi="Garamond" w:cs="Times New Roman"/>
          <w:lang w:val="en-GB"/>
        </w:rPr>
        <w:t>,</w:t>
      </w:r>
      <w:r w:rsidR="00543591" w:rsidRPr="000604BD">
        <w:rPr>
          <w:rFonts w:ascii="Garamond" w:hAnsi="Garamond" w:cs="Times New Roman"/>
          <w:lang w:val="en-GB"/>
        </w:rPr>
        <w:t xml:space="preserve"> and the former have increased much more rapidly than the latter (which actually declined over the last few years), which</w:t>
      </w:r>
      <w:r w:rsidR="00EB31E9">
        <w:rPr>
          <w:rFonts w:ascii="Garamond" w:hAnsi="Garamond" w:cs="Times New Roman"/>
          <w:lang w:val="en-GB"/>
        </w:rPr>
        <w:t xml:space="preserve"> </w:t>
      </w:r>
      <w:r w:rsidR="0075385C" w:rsidRPr="000604BD">
        <w:rPr>
          <w:rFonts w:ascii="Garamond" w:hAnsi="Garamond" w:cs="Times New Roman"/>
          <w:lang w:val="en-GB"/>
        </w:rPr>
        <w:t>makes a striking similarity between Chinese and Indian investors</w:t>
      </w:r>
      <w:r w:rsidRPr="000604BD">
        <w:rPr>
          <w:rFonts w:ascii="Garamond" w:hAnsi="Garamond" w:cs="Times New Roman"/>
          <w:lang w:val="en-GB"/>
        </w:rPr>
        <w:t>.</w:t>
      </w:r>
    </w:p>
    <w:p w14:paraId="5597F01B" w14:textId="23C30C54" w:rsidR="0075385C" w:rsidRPr="000604BD" w:rsidRDefault="00B456E0" w:rsidP="00B456E0">
      <w:pPr>
        <w:spacing w:line="360" w:lineRule="auto"/>
        <w:jc w:val="both"/>
        <w:rPr>
          <w:rFonts w:ascii="Garamond" w:hAnsi="Garamond" w:cs="Times New Roman"/>
          <w:lang w:val="en-GB"/>
        </w:rPr>
      </w:pPr>
      <w:r w:rsidRPr="000604BD">
        <w:rPr>
          <w:rFonts w:ascii="Garamond" w:hAnsi="Garamond" w:cs="Times New Roman"/>
          <w:lang w:val="en-GB"/>
        </w:rPr>
        <w:t xml:space="preserve">Chinese firms carried out 3,020 cross-border deals over the years from 2003 until 2011, of which </w:t>
      </w:r>
      <w:r w:rsidR="0050655A" w:rsidRPr="000604BD">
        <w:rPr>
          <w:rFonts w:ascii="Garamond" w:hAnsi="Garamond" w:cs="Times New Roman"/>
          <w:lang w:val="en-GB"/>
        </w:rPr>
        <w:t>almost 70% (i.e. 2,092) were</w:t>
      </w:r>
      <w:r w:rsidRPr="000604BD">
        <w:rPr>
          <w:rFonts w:ascii="Garamond" w:hAnsi="Garamond" w:cs="Times New Roman"/>
          <w:lang w:val="en-GB"/>
        </w:rPr>
        <w:t xml:space="preserve"> greenfield investments, </w:t>
      </w:r>
      <w:r w:rsidR="0075385C" w:rsidRPr="000604BD">
        <w:rPr>
          <w:rFonts w:ascii="Garamond" w:hAnsi="Garamond" w:cs="Times New Roman"/>
          <w:lang w:val="en-GB"/>
        </w:rPr>
        <w:t xml:space="preserve">while </w:t>
      </w:r>
      <w:r w:rsidR="0050655A" w:rsidRPr="000604BD">
        <w:rPr>
          <w:rFonts w:ascii="Garamond" w:hAnsi="Garamond" w:cs="Times New Roman"/>
          <w:lang w:val="en-GB"/>
        </w:rPr>
        <w:t xml:space="preserve">only </w:t>
      </w:r>
      <w:r w:rsidRPr="000604BD">
        <w:rPr>
          <w:rFonts w:ascii="Garamond" w:hAnsi="Garamond" w:cs="Times New Roman"/>
          <w:lang w:val="en-GB"/>
        </w:rPr>
        <w:t xml:space="preserve">623 </w:t>
      </w:r>
      <w:r w:rsidR="0075385C" w:rsidRPr="000604BD">
        <w:rPr>
          <w:rFonts w:ascii="Garamond" w:hAnsi="Garamond" w:cs="Times New Roman"/>
          <w:lang w:val="en-GB"/>
        </w:rPr>
        <w:t>were M&amp;A, and 305 were</w:t>
      </w:r>
      <w:r w:rsidRPr="000604BD">
        <w:rPr>
          <w:rFonts w:ascii="Garamond" w:hAnsi="Garamond" w:cs="Times New Roman"/>
          <w:lang w:val="en-GB"/>
        </w:rPr>
        <w:t xml:space="preserve"> minority investments. All the different types of deals have increased in the time span covered by EMENDATA (cu</w:t>
      </w:r>
      <w:r w:rsidR="0075385C" w:rsidRPr="000604BD">
        <w:rPr>
          <w:rFonts w:ascii="Garamond" w:hAnsi="Garamond" w:cs="Times New Roman"/>
          <w:lang w:val="en-GB"/>
        </w:rPr>
        <w:t>rrently from 2003 until 2011), but</w:t>
      </w:r>
      <w:r w:rsidRPr="000604BD">
        <w:rPr>
          <w:rFonts w:ascii="Garamond" w:hAnsi="Garamond" w:cs="Times New Roman"/>
          <w:lang w:val="en-GB"/>
        </w:rPr>
        <w:t xml:space="preserve"> the number of greenfield investments </w:t>
      </w:r>
      <w:r w:rsidR="0075385C" w:rsidRPr="000604BD">
        <w:rPr>
          <w:rFonts w:ascii="Garamond" w:hAnsi="Garamond" w:cs="Times New Roman"/>
          <w:lang w:val="en-GB"/>
        </w:rPr>
        <w:t xml:space="preserve">exhibits </w:t>
      </w:r>
      <w:r w:rsidRPr="000604BD">
        <w:rPr>
          <w:rFonts w:ascii="Garamond" w:hAnsi="Garamond" w:cs="Times New Roman"/>
          <w:lang w:val="en-GB"/>
        </w:rPr>
        <w:t>the most dramatic increased since 2006 while M&amp;A and minority investments increased much less</w:t>
      </w:r>
      <w:r w:rsidR="0075385C" w:rsidRPr="000604BD">
        <w:rPr>
          <w:rFonts w:ascii="Garamond" w:hAnsi="Garamond" w:cs="Times New Roman"/>
          <w:lang w:val="en-GB"/>
        </w:rPr>
        <w:t xml:space="preserve"> (Figure 1)</w:t>
      </w:r>
      <w:r w:rsidRPr="000604BD">
        <w:rPr>
          <w:rFonts w:ascii="Garamond" w:hAnsi="Garamond" w:cs="Times New Roman"/>
          <w:lang w:val="en-GB"/>
        </w:rPr>
        <w:t xml:space="preserve">. This trend can be explained by the recent effort </w:t>
      </w:r>
      <w:r w:rsidR="0075385C" w:rsidRPr="000604BD">
        <w:rPr>
          <w:rFonts w:ascii="Garamond" w:hAnsi="Garamond" w:cs="Times New Roman"/>
          <w:lang w:val="en-GB"/>
        </w:rPr>
        <w:t xml:space="preserve">by the Chinese government </w:t>
      </w:r>
      <w:r w:rsidRPr="000604BD">
        <w:rPr>
          <w:rFonts w:ascii="Garamond" w:hAnsi="Garamond" w:cs="Times New Roman"/>
          <w:lang w:val="en-GB"/>
        </w:rPr>
        <w:t xml:space="preserve">to extend the provisions of the </w:t>
      </w:r>
      <w:r w:rsidRPr="000604BD">
        <w:rPr>
          <w:rFonts w:ascii="Garamond" w:hAnsi="Garamond" w:cs="Times New Roman"/>
          <w:i/>
          <w:lang w:val="en-GB"/>
        </w:rPr>
        <w:t>Go Global</w:t>
      </w:r>
      <w:r w:rsidRPr="000604BD">
        <w:rPr>
          <w:rFonts w:ascii="Garamond" w:hAnsi="Garamond" w:cs="Times New Roman"/>
          <w:lang w:val="en-GB"/>
        </w:rPr>
        <w:t xml:space="preserve"> policy to private firms (Luo et al., 2010) whose internationalization strategy is largely undertaken by means of wholly owned subsidiaries rather than M&amp;As. </w:t>
      </w:r>
      <w:r w:rsidR="00445272" w:rsidRPr="000604BD">
        <w:rPr>
          <w:rStyle w:val="FootnoteReference"/>
          <w:rFonts w:ascii="Garamond" w:hAnsi="Garamond"/>
          <w:lang w:val="en-GB"/>
        </w:rPr>
        <w:footnoteReference w:id="1"/>
      </w:r>
    </w:p>
    <w:p w14:paraId="2A8523AC" w14:textId="4256A2B5" w:rsidR="00B456E0" w:rsidRDefault="0075385C" w:rsidP="00B456E0">
      <w:pPr>
        <w:spacing w:line="360" w:lineRule="auto"/>
        <w:jc w:val="both"/>
        <w:rPr>
          <w:rFonts w:ascii="Garamond" w:hAnsi="Garamond" w:cs="Times New Roman"/>
          <w:lang w:val="en-GB"/>
        </w:rPr>
      </w:pPr>
      <w:r w:rsidRPr="000604BD">
        <w:rPr>
          <w:rFonts w:ascii="Garamond" w:hAnsi="Garamond" w:cs="Times New Roman"/>
          <w:lang w:val="en-GB"/>
        </w:rPr>
        <w:t>Similarly,</w:t>
      </w:r>
      <w:r w:rsidR="00B456E0" w:rsidRPr="000604BD">
        <w:rPr>
          <w:rFonts w:ascii="Garamond" w:hAnsi="Garamond" w:cs="Times New Roman"/>
          <w:lang w:val="en-GB"/>
        </w:rPr>
        <w:t xml:space="preserve"> in the case of Indian investors, the large majority of FDI between 2003 and 2011 has taken the form of greenfield investments: </w:t>
      </w:r>
      <w:r w:rsidRPr="000604BD">
        <w:rPr>
          <w:rFonts w:ascii="Garamond" w:hAnsi="Garamond" w:cs="Times New Roman"/>
          <w:lang w:val="en-GB"/>
        </w:rPr>
        <w:t>70% (i.e. 2,559) out</w:t>
      </w:r>
      <w:r w:rsidR="00B456E0" w:rsidRPr="000604BD">
        <w:rPr>
          <w:rFonts w:ascii="Garamond" w:hAnsi="Garamond" w:cs="Times New Roman"/>
          <w:lang w:val="en-GB"/>
        </w:rPr>
        <w:t xml:space="preserve"> of 3,</w:t>
      </w:r>
      <w:r w:rsidRPr="000604BD">
        <w:rPr>
          <w:rFonts w:ascii="Garamond" w:hAnsi="Garamond" w:cs="Times New Roman"/>
          <w:lang w:val="en-GB"/>
        </w:rPr>
        <w:t xml:space="preserve">640 cross-border deals were greenfield, only 911 </w:t>
      </w:r>
      <w:r w:rsidR="00B456E0" w:rsidRPr="000604BD">
        <w:rPr>
          <w:rFonts w:ascii="Garamond" w:hAnsi="Garamond" w:cs="Times New Roman"/>
          <w:lang w:val="en-GB"/>
        </w:rPr>
        <w:t xml:space="preserve">M&amp;A and 170 minority investments. Indian FDI have also been increasing over time, but only until 2009, when a drop </w:t>
      </w:r>
      <w:r w:rsidRPr="000604BD">
        <w:rPr>
          <w:rFonts w:ascii="Garamond" w:hAnsi="Garamond" w:cs="Times New Roman"/>
          <w:lang w:val="en-GB"/>
        </w:rPr>
        <w:t>in outward FDI was registered, a</w:t>
      </w:r>
      <w:r w:rsidR="00B456E0" w:rsidRPr="000604BD">
        <w:rPr>
          <w:rFonts w:ascii="Garamond" w:hAnsi="Garamond" w:cs="Times New Roman"/>
          <w:lang w:val="en-GB"/>
        </w:rPr>
        <w:t>nd the subsequent increase in 2010-2011 has not allowed India to recover the peak level of year 2008</w:t>
      </w:r>
      <w:r w:rsidRPr="000604BD">
        <w:rPr>
          <w:rFonts w:ascii="Garamond" w:hAnsi="Garamond" w:cs="Times New Roman"/>
          <w:lang w:val="en-GB"/>
        </w:rPr>
        <w:t xml:space="preserve"> (Figure 1)</w:t>
      </w:r>
      <w:r w:rsidR="00B456E0" w:rsidRPr="000604BD">
        <w:rPr>
          <w:rFonts w:ascii="Garamond" w:hAnsi="Garamond" w:cs="Times New Roman"/>
          <w:lang w:val="en-GB"/>
        </w:rPr>
        <w:t>.</w:t>
      </w:r>
    </w:p>
    <w:p w14:paraId="472E8058" w14:textId="77777777" w:rsidR="00FA161F" w:rsidRDefault="00FA161F" w:rsidP="00B456E0">
      <w:pPr>
        <w:spacing w:line="360" w:lineRule="auto"/>
        <w:jc w:val="both"/>
        <w:rPr>
          <w:rFonts w:ascii="Garamond" w:hAnsi="Garamond" w:cs="Times New Roman"/>
          <w:lang w:val="en-GB"/>
        </w:rPr>
      </w:pPr>
    </w:p>
    <w:p w14:paraId="5DFE9CFD" w14:textId="77777777" w:rsidR="00FA161F" w:rsidRDefault="00FA161F" w:rsidP="00B456E0">
      <w:pPr>
        <w:spacing w:line="360" w:lineRule="auto"/>
        <w:jc w:val="both"/>
        <w:rPr>
          <w:rFonts w:ascii="Garamond" w:hAnsi="Garamond" w:cs="Times New Roman"/>
          <w:lang w:val="en-GB"/>
        </w:rPr>
      </w:pPr>
    </w:p>
    <w:p w14:paraId="0BD97AC4" w14:textId="77777777" w:rsidR="00FA161F" w:rsidRDefault="00FA161F" w:rsidP="00B456E0">
      <w:pPr>
        <w:spacing w:line="360" w:lineRule="auto"/>
        <w:jc w:val="both"/>
        <w:rPr>
          <w:rFonts w:ascii="Garamond" w:hAnsi="Garamond" w:cs="Times New Roman"/>
          <w:lang w:val="en-GB"/>
        </w:rPr>
      </w:pPr>
    </w:p>
    <w:p w14:paraId="3147776A" w14:textId="77777777" w:rsidR="00FA161F" w:rsidRDefault="00FA161F" w:rsidP="00B456E0">
      <w:pPr>
        <w:spacing w:line="360" w:lineRule="auto"/>
        <w:jc w:val="both"/>
        <w:rPr>
          <w:rFonts w:ascii="Garamond" w:hAnsi="Garamond" w:cs="Times New Roman"/>
          <w:lang w:val="en-GB"/>
        </w:rPr>
      </w:pPr>
    </w:p>
    <w:p w14:paraId="1DBCD88E" w14:textId="77777777" w:rsidR="00FA161F" w:rsidRPr="000604BD" w:rsidRDefault="00FA161F" w:rsidP="00B456E0">
      <w:pPr>
        <w:spacing w:line="360" w:lineRule="auto"/>
        <w:jc w:val="both"/>
        <w:rPr>
          <w:rFonts w:ascii="Garamond" w:hAnsi="Garamond" w:cs="Times New Roman"/>
          <w:lang w:val="en-GB"/>
        </w:rPr>
      </w:pPr>
    </w:p>
    <w:p w14:paraId="5A2B3B58" w14:textId="41AA834F" w:rsidR="00BB1AF1" w:rsidRPr="000604BD" w:rsidRDefault="00DC57B5" w:rsidP="0075385C">
      <w:pPr>
        <w:spacing w:line="360" w:lineRule="auto"/>
        <w:jc w:val="center"/>
        <w:rPr>
          <w:rFonts w:ascii="Garamond" w:hAnsi="Garamond" w:cs="Times New Roman"/>
          <w:b/>
          <w:sz w:val="16"/>
          <w:szCs w:val="16"/>
          <w:lang w:val="en-GB"/>
        </w:rPr>
      </w:pPr>
      <w:r w:rsidRPr="000604BD">
        <w:rPr>
          <w:rFonts w:ascii="Garamond" w:hAnsi="Garamond" w:cs="Times New Roman"/>
          <w:b/>
          <w:sz w:val="16"/>
          <w:szCs w:val="16"/>
          <w:lang w:val="en-GB"/>
        </w:rPr>
        <w:lastRenderedPageBreak/>
        <w:t xml:space="preserve">Figure 1 </w:t>
      </w:r>
      <w:r w:rsidR="00EE2406" w:rsidRPr="000604BD">
        <w:rPr>
          <w:rFonts w:ascii="Garamond" w:hAnsi="Garamond" w:cs="Times New Roman"/>
          <w:b/>
          <w:sz w:val="16"/>
          <w:szCs w:val="16"/>
          <w:lang w:val="en-GB"/>
        </w:rPr>
        <w:t xml:space="preserve">Number of </w:t>
      </w:r>
      <w:r w:rsidRPr="000604BD">
        <w:rPr>
          <w:rFonts w:ascii="Garamond" w:hAnsi="Garamond" w:cs="Times New Roman"/>
          <w:b/>
          <w:sz w:val="16"/>
          <w:szCs w:val="16"/>
          <w:lang w:val="en-GB"/>
        </w:rPr>
        <w:t>Chin</w:t>
      </w:r>
      <w:r w:rsidR="00543591" w:rsidRPr="000604BD">
        <w:rPr>
          <w:rFonts w:ascii="Garamond" w:hAnsi="Garamond" w:cs="Times New Roman"/>
          <w:b/>
          <w:sz w:val="16"/>
          <w:szCs w:val="16"/>
          <w:lang w:val="en-GB"/>
        </w:rPr>
        <w:t xml:space="preserve">ese and Indian FDI to the world by type, </w:t>
      </w:r>
      <w:r w:rsidRPr="000604BD">
        <w:rPr>
          <w:rFonts w:ascii="Garamond" w:hAnsi="Garamond" w:cs="Times New Roman"/>
          <w:b/>
          <w:sz w:val="16"/>
          <w:szCs w:val="16"/>
          <w:lang w:val="en-GB"/>
        </w:rPr>
        <w:t>2003-2011</w:t>
      </w:r>
    </w:p>
    <w:p w14:paraId="73FD2397" w14:textId="77777777" w:rsidR="00BB1AF1" w:rsidRPr="000604BD" w:rsidRDefault="00BB1AF1" w:rsidP="0075385C">
      <w:pPr>
        <w:pStyle w:val="CommentText"/>
        <w:spacing w:after="0" w:line="360" w:lineRule="auto"/>
        <w:ind w:right="-7"/>
        <w:jc w:val="center"/>
        <w:rPr>
          <w:rFonts w:ascii="Garamond" w:hAnsi="Garamond" w:cs="Times New Roman"/>
          <w:sz w:val="22"/>
          <w:szCs w:val="22"/>
          <w:lang w:val="en-GB"/>
        </w:rPr>
      </w:pPr>
      <w:r w:rsidRPr="000604BD">
        <w:rPr>
          <w:noProof/>
          <w:lang w:val="da-DK" w:eastAsia="da-DK"/>
        </w:rPr>
        <w:drawing>
          <wp:inline distT="0" distB="0" distL="0" distR="0" wp14:anchorId="7315E704" wp14:editId="6C63C02E">
            <wp:extent cx="4572000" cy="2265352"/>
            <wp:effectExtent l="0" t="0" r="0" b="190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C94870" w14:textId="6CC1E47F" w:rsidR="00BB1AF1" w:rsidRPr="000604BD" w:rsidRDefault="0075385C" w:rsidP="0075385C">
      <w:pPr>
        <w:pStyle w:val="CommentText"/>
        <w:spacing w:after="0" w:line="360" w:lineRule="auto"/>
        <w:ind w:right="-7"/>
        <w:jc w:val="center"/>
        <w:rPr>
          <w:rFonts w:ascii="Garamond" w:hAnsi="Garamond" w:cs="Times New Roman"/>
          <w:sz w:val="16"/>
          <w:szCs w:val="16"/>
          <w:lang w:val="en-GB"/>
        </w:rPr>
      </w:pPr>
      <w:r w:rsidRPr="000604BD">
        <w:rPr>
          <w:rFonts w:ascii="Garamond" w:hAnsi="Garamond" w:cs="Times New Roman"/>
          <w:sz w:val="16"/>
          <w:szCs w:val="16"/>
          <w:lang w:val="en-GB"/>
        </w:rPr>
        <w:t>Source: authors’ elaboration</w:t>
      </w:r>
      <w:r w:rsidR="00586C46" w:rsidRPr="000604BD">
        <w:rPr>
          <w:rFonts w:ascii="Garamond" w:hAnsi="Garamond" w:cs="Times New Roman"/>
          <w:sz w:val="16"/>
          <w:szCs w:val="16"/>
          <w:lang w:val="en-GB"/>
        </w:rPr>
        <w:t xml:space="preserve"> on EMENDATA, fDImarkets, Zephyr, SDC Platinum.</w:t>
      </w:r>
    </w:p>
    <w:p w14:paraId="195E660F" w14:textId="77777777" w:rsidR="00BB1AF1" w:rsidRDefault="00BB1AF1" w:rsidP="00CA5D16">
      <w:pPr>
        <w:pStyle w:val="CommentText"/>
        <w:spacing w:after="0" w:line="360" w:lineRule="auto"/>
        <w:ind w:right="-7"/>
        <w:jc w:val="both"/>
        <w:rPr>
          <w:rFonts w:ascii="Garamond" w:hAnsi="Garamond" w:cs="Times New Roman"/>
          <w:sz w:val="22"/>
          <w:szCs w:val="22"/>
          <w:lang w:val="en-GB"/>
        </w:rPr>
      </w:pPr>
    </w:p>
    <w:p w14:paraId="50B53D41" w14:textId="77777777" w:rsidR="008F4C20" w:rsidRPr="000604BD" w:rsidRDefault="008F4C20" w:rsidP="008F4C20">
      <w:pPr>
        <w:pStyle w:val="CommentText"/>
        <w:spacing w:after="0" w:line="360" w:lineRule="auto"/>
        <w:ind w:right="-7"/>
        <w:jc w:val="both"/>
        <w:rPr>
          <w:rFonts w:ascii="Garamond" w:hAnsi="Garamond" w:cs="Times New Roman"/>
          <w:sz w:val="22"/>
          <w:szCs w:val="22"/>
          <w:lang w:val="en-GB"/>
        </w:rPr>
      </w:pPr>
      <w:r w:rsidRPr="000604BD">
        <w:rPr>
          <w:rFonts w:ascii="Garamond" w:hAnsi="Garamond" w:cs="Times New Roman"/>
          <w:sz w:val="22"/>
          <w:szCs w:val="22"/>
          <w:lang w:val="en-GB"/>
        </w:rPr>
        <w:t>When looking at Chinese and Indian FDI in Europe (Figure 2), the similarities between the two almost disappear. While Chinese FDI in Europe resemble the general pattern depicted in Figure 1, Indian FDI in Europe are much more equally distributed between greenfield and M&amp;A, and both types declined sharply after 2008. This shows that the increasing overall trend in overseas investment by Indian investors is explained mainly by extra-UE activities, while Europe as a whole is losing importance as a foreign location.</w:t>
      </w:r>
    </w:p>
    <w:p w14:paraId="15D66FD8" w14:textId="77777777" w:rsidR="00586C46" w:rsidRPr="000604BD" w:rsidRDefault="00586C46" w:rsidP="00586C46">
      <w:pPr>
        <w:spacing w:line="360" w:lineRule="auto"/>
        <w:jc w:val="center"/>
        <w:rPr>
          <w:rFonts w:ascii="Garamond" w:hAnsi="Garamond" w:cs="Times New Roman"/>
          <w:b/>
          <w:sz w:val="16"/>
          <w:szCs w:val="16"/>
          <w:lang w:val="en-GB"/>
        </w:rPr>
      </w:pPr>
      <w:r w:rsidRPr="000604BD">
        <w:rPr>
          <w:rFonts w:ascii="Garamond" w:hAnsi="Garamond" w:cs="Times New Roman"/>
          <w:b/>
          <w:sz w:val="16"/>
          <w:szCs w:val="16"/>
          <w:lang w:val="en-GB"/>
        </w:rPr>
        <w:t>Figure 2  Number of Chinese and Indian FDI to the EU by type, 2003-2011</w:t>
      </w:r>
    </w:p>
    <w:p w14:paraId="5E8D7F8B" w14:textId="77777777" w:rsidR="00586C46" w:rsidRPr="000604BD" w:rsidRDefault="00586C46" w:rsidP="00586C46">
      <w:pPr>
        <w:pStyle w:val="CommentText"/>
        <w:spacing w:after="0" w:line="360" w:lineRule="auto"/>
        <w:ind w:right="-7"/>
        <w:jc w:val="center"/>
        <w:rPr>
          <w:rFonts w:ascii="Garamond" w:hAnsi="Garamond" w:cs="Times New Roman"/>
          <w:sz w:val="22"/>
          <w:szCs w:val="22"/>
          <w:lang w:val="en-GB"/>
        </w:rPr>
      </w:pPr>
      <w:r w:rsidRPr="000604BD">
        <w:rPr>
          <w:noProof/>
          <w:lang w:val="da-DK" w:eastAsia="da-DK"/>
        </w:rPr>
        <w:drawing>
          <wp:inline distT="0" distB="0" distL="0" distR="0" wp14:anchorId="7562DBAC" wp14:editId="6C925011">
            <wp:extent cx="4572000" cy="27432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C755AF" w14:textId="00AD70E3" w:rsidR="00A750BF" w:rsidRPr="000604BD" w:rsidRDefault="00586C46" w:rsidP="00586C46">
      <w:pPr>
        <w:pStyle w:val="CommentText"/>
        <w:spacing w:after="0" w:line="360" w:lineRule="auto"/>
        <w:ind w:right="-7"/>
        <w:jc w:val="center"/>
        <w:rPr>
          <w:rFonts w:ascii="Garamond" w:hAnsi="Garamond" w:cs="Times New Roman"/>
          <w:sz w:val="16"/>
          <w:szCs w:val="16"/>
          <w:lang w:val="en-GB"/>
        </w:rPr>
      </w:pPr>
      <w:r w:rsidRPr="000604BD">
        <w:rPr>
          <w:rFonts w:ascii="Garamond" w:hAnsi="Garamond" w:cs="Times New Roman"/>
          <w:sz w:val="16"/>
          <w:szCs w:val="16"/>
          <w:lang w:val="en-GB"/>
        </w:rPr>
        <w:t>Source: authors’ elaboration on EMENDATA</w:t>
      </w:r>
    </w:p>
    <w:p w14:paraId="2674C1ED" w14:textId="77777777" w:rsidR="008F4C20" w:rsidRDefault="008F4C20" w:rsidP="009E6583">
      <w:pPr>
        <w:pStyle w:val="CommentText"/>
        <w:spacing w:after="0" w:line="360" w:lineRule="auto"/>
        <w:ind w:right="-7"/>
        <w:jc w:val="both"/>
        <w:rPr>
          <w:rFonts w:ascii="Garamond" w:hAnsi="Garamond" w:cs="Times New Roman"/>
          <w:sz w:val="22"/>
          <w:szCs w:val="22"/>
          <w:lang w:val="en-GB"/>
        </w:rPr>
      </w:pPr>
    </w:p>
    <w:p w14:paraId="35105AF0" w14:textId="77777777" w:rsidR="004A3F65" w:rsidRPr="000604BD" w:rsidRDefault="004A3F65" w:rsidP="00C467A9">
      <w:pPr>
        <w:autoSpaceDE w:val="0"/>
        <w:autoSpaceDN w:val="0"/>
        <w:adjustRightInd w:val="0"/>
        <w:spacing w:line="360" w:lineRule="auto"/>
        <w:ind w:right="-7"/>
        <w:jc w:val="both"/>
        <w:rPr>
          <w:rFonts w:ascii="Garamond" w:hAnsi="Garamond" w:cs="Times New Roman"/>
          <w:b/>
          <w:i/>
          <w:lang w:val="en-GB"/>
        </w:rPr>
      </w:pPr>
    </w:p>
    <w:p w14:paraId="146B1EEB" w14:textId="38E0413E" w:rsidR="00C467A9" w:rsidRPr="000604BD" w:rsidRDefault="00C467A9" w:rsidP="00C467A9">
      <w:pPr>
        <w:autoSpaceDE w:val="0"/>
        <w:autoSpaceDN w:val="0"/>
        <w:adjustRightInd w:val="0"/>
        <w:spacing w:line="360" w:lineRule="auto"/>
        <w:ind w:right="-7"/>
        <w:jc w:val="both"/>
        <w:rPr>
          <w:rFonts w:ascii="Garamond" w:hAnsi="Garamond" w:cs="Times New Roman"/>
          <w:b/>
          <w:i/>
          <w:lang w:val="en-GB"/>
        </w:rPr>
      </w:pPr>
      <w:r w:rsidRPr="000604BD">
        <w:rPr>
          <w:rFonts w:ascii="Garamond" w:hAnsi="Garamond" w:cs="Times New Roman"/>
          <w:b/>
          <w:i/>
          <w:lang w:val="en-GB"/>
        </w:rPr>
        <w:t>Industry patterns</w:t>
      </w:r>
    </w:p>
    <w:p w14:paraId="1CA8A256" w14:textId="3D237AE6" w:rsidR="00CA5D16" w:rsidRPr="000604BD" w:rsidRDefault="00C467A9" w:rsidP="00EF1DD5">
      <w:pPr>
        <w:autoSpaceDE w:val="0"/>
        <w:autoSpaceDN w:val="0"/>
        <w:adjustRightInd w:val="0"/>
        <w:spacing w:after="0" w:line="360" w:lineRule="auto"/>
        <w:ind w:right="-7"/>
        <w:jc w:val="both"/>
        <w:rPr>
          <w:rFonts w:ascii="Garamond" w:hAnsi="Garamond" w:cs="Times New Roman"/>
          <w:lang w:val="en-GB"/>
        </w:rPr>
      </w:pPr>
      <w:r w:rsidRPr="000604BD">
        <w:rPr>
          <w:rFonts w:ascii="Garamond" w:hAnsi="Garamond" w:cs="Times New Roman"/>
          <w:lang w:val="en-GB"/>
        </w:rPr>
        <w:t>As regards</w:t>
      </w:r>
      <w:r w:rsidR="00E31CE7" w:rsidRPr="000604BD">
        <w:rPr>
          <w:rFonts w:ascii="Garamond" w:hAnsi="Garamond" w:cs="Times New Roman"/>
          <w:lang w:val="en-GB"/>
        </w:rPr>
        <w:t xml:space="preserve"> i</w:t>
      </w:r>
      <w:r w:rsidR="00B456E0" w:rsidRPr="000604BD">
        <w:rPr>
          <w:rFonts w:ascii="Garamond" w:hAnsi="Garamond" w:cs="Times New Roman"/>
          <w:lang w:val="en-GB"/>
        </w:rPr>
        <w:t>ndustry patterns</w:t>
      </w:r>
      <w:r w:rsidR="00B949A0" w:rsidRPr="000604BD">
        <w:rPr>
          <w:rFonts w:ascii="Garamond" w:hAnsi="Garamond" w:cs="Times New Roman"/>
          <w:lang w:val="en-GB"/>
        </w:rPr>
        <w:t xml:space="preserve"> worldwide</w:t>
      </w:r>
      <w:r w:rsidR="00E31CE7" w:rsidRPr="000604BD">
        <w:rPr>
          <w:rFonts w:ascii="Garamond" w:hAnsi="Garamond" w:cs="Times New Roman"/>
          <w:lang w:val="en-GB"/>
        </w:rPr>
        <w:t xml:space="preserve">, </w:t>
      </w:r>
      <w:r w:rsidR="00EF1DD5" w:rsidRPr="000604BD">
        <w:rPr>
          <w:rFonts w:ascii="Garamond" w:hAnsi="Garamond" w:cs="Times New Roman"/>
          <w:lang w:val="en-GB"/>
        </w:rPr>
        <w:t>m</w:t>
      </w:r>
      <w:r w:rsidR="00CA5D16" w:rsidRPr="000604BD">
        <w:rPr>
          <w:rFonts w:ascii="Garamond" w:hAnsi="Garamond" w:cs="Times New Roman"/>
          <w:lang w:val="en-GB"/>
        </w:rPr>
        <w:t xml:space="preserve">anufacturing represents 63% of the total number of Chinese investments followed by investments in services (30%). If we consider modes of entry, manufacturing is the main specialization </w:t>
      </w:r>
      <w:r w:rsidR="00CA5D16" w:rsidRPr="000604BD">
        <w:rPr>
          <w:rFonts w:ascii="Garamond" w:hAnsi="Garamond" w:cs="Times New Roman"/>
          <w:lang w:val="en-GB"/>
        </w:rPr>
        <w:lastRenderedPageBreak/>
        <w:t>for greenfield investment (71%); the opposite for M&amp;A, where services attracts 55% of deals, followed by manufacturing with 35%.</w:t>
      </w:r>
      <w:r w:rsidR="00EF1DD5" w:rsidRPr="000604BD">
        <w:rPr>
          <w:rFonts w:ascii="Garamond" w:hAnsi="Garamond" w:cs="Times New Roman"/>
          <w:lang w:val="en-GB"/>
        </w:rPr>
        <w:t xml:space="preserve"> </w:t>
      </w:r>
      <w:r w:rsidR="00CA5D16" w:rsidRPr="000604BD">
        <w:rPr>
          <w:rFonts w:ascii="Garamond" w:hAnsi="Garamond" w:cs="Times New Roman"/>
          <w:lang w:val="en-GB"/>
        </w:rPr>
        <w:t>For Indian investors, instead, the service sector is the most attractive (56% of deals, as opposed to 38% of manufacturing). This is true also distinguishing between greenfield investments and M&amp;A, although in the Indian case it is among M&amp;A that values are closer (53% services and 42% manufacturing).</w:t>
      </w:r>
    </w:p>
    <w:p w14:paraId="0C68749E" w14:textId="77777777" w:rsidR="00CA5D16" w:rsidRPr="000604BD" w:rsidRDefault="00CA5D16" w:rsidP="00CA5D16">
      <w:pPr>
        <w:autoSpaceDE w:val="0"/>
        <w:autoSpaceDN w:val="0"/>
        <w:adjustRightInd w:val="0"/>
        <w:spacing w:after="0" w:line="360" w:lineRule="auto"/>
        <w:ind w:right="-7"/>
        <w:jc w:val="both"/>
        <w:rPr>
          <w:rFonts w:ascii="Garamond" w:hAnsi="Garamond" w:cs="Times New Roman"/>
          <w:lang w:val="en-GB"/>
        </w:rPr>
      </w:pPr>
    </w:p>
    <w:p w14:paraId="46A267A8" w14:textId="44AA2A8C" w:rsidR="00CA5D16" w:rsidRPr="000604BD" w:rsidRDefault="00EF1DD5" w:rsidP="00EF1DD5">
      <w:pPr>
        <w:spacing w:line="360" w:lineRule="auto"/>
        <w:jc w:val="both"/>
        <w:rPr>
          <w:rFonts w:ascii="Garamond" w:hAnsi="Garamond" w:cs="Times New Roman"/>
          <w:lang w:val="en-GB"/>
        </w:rPr>
      </w:pPr>
      <w:r w:rsidRPr="000604BD">
        <w:rPr>
          <w:rFonts w:ascii="Garamond" w:hAnsi="Garamond" w:cs="Times New Roman"/>
          <w:lang w:val="en-GB"/>
        </w:rPr>
        <w:t xml:space="preserve">As regards specifically </w:t>
      </w:r>
      <w:r w:rsidR="00CA5D16" w:rsidRPr="000604BD">
        <w:rPr>
          <w:rFonts w:ascii="Garamond" w:hAnsi="Garamond" w:cs="Times New Roman"/>
          <w:lang w:val="en-GB"/>
        </w:rPr>
        <w:t>Europe, and especially EU27, is a top destination for Chinese greenfield FDI in manufacturing with 42% of the total number of greenfield invest</w:t>
      </w:r>
      <w:r w:rsidR="00BB20EA" w:rsidRPr="000604BD">
        <w:rPr>
          <w:rFonts w:ascii="Garamond" w:hAnsi="Garamond" w:cs="Times New Roman"/>
          <w:lang w:val="en-GB"/>
        </w:rPr>
        <w:t>ments, followed by Asia with 30</w:t>
      </w:r>
      <w:r w:rsidR="00CA5D16" w:rsidRPr="000604BD">
        <w:rPr>
          <w:rFonts w:ascii="Garamond" w:hAnsi="Garamond" w:cs="Times New Roman"/>
          <w:lang w:val="en-GB"/>
        </w:rPr>
        <w:t>%. Asia is the favo</w:t>
      </w:r>
      <w:r w:rsidR="00BB20EA" w:rsidRPr="000604BD">
        <w:rPr>
          <w:rFonts w:ascii="Garamond" w:hAnsi="Garamond" w:cs="Times New Roman"/>
          <w:lang w:val="en-GB"/>
        </w:rPr>
        <w:t>u</w:t>
      </w:r>
      <w:r w:rsidR="00CA5D16" w:rsidRPr="000604BD">
        <w:rPr>
          <w:rFonts w:ascii="Garamond" w:hAnsi="Garamond" w:cs="Times New Roman"/>
          <w:lang w:val="en-GB"/>
        </w:rPr>
        <w:t>rite destination for greenfield FDI in services with 48%. In relation to M&amp;A, the majority of deals in services and manufacturing are in Asia. In services, 57.6% of M&amp;A are in Asia with a very high share in Hong Kong, followed by the USA.</w:t>
      </w:r>
    </w:p>
    <w:p w14:paraId="5F6F79BC" w14:textId="6932CF54" w:rsidR="00CA5D16" w:rsidRPr="000604BD" w:rsidRDefault="00CA5D16" w:rsidP="00B949A0">
      <w:pPr>
        <w:spacing w:line="360" w:lineRule="auto"/>
        <w:jc w:val="both"/>
        <w:rPr>
          <w:rFonts w:ascii="Garamond" w:hAnsi="Garamond" w:cs="Times New Roman"/>
          <w:lang w:val="en-GB"/>
        </w:rPr>
      </w:pPr>
      <w:r w:rsidRPr="000604BD">
        <w:rPr>
          <w:rFonts w:ascii="Garamond" w:hAnsi="Garamond" w:cs="Times New Roman"/>
          <w:lang w:val="en-GB"/>
        </w:rPr>
        <w:t>Asia is instead the top destination for Indian greenfield FDI both in manufacturing, with 43% of total greenfield investments, and in services, with 48%. For both macro</w:t>
      </w:r>
      <w:r w:rsidR="00E31CE7" w:rsidRPr="000604BD">
        <w:rPr>
          <w:rFonts w:ascii="Garamond" w:hAnsi="Garamond" w:cs="Times New Roman"/>
          <w:lang w:val="en-GB"/>
        </w:rPr>
        <w:t>-</w:t>
      </w:r>
      <w:r w:rsidRPr="000604BD">
        <w:rPr>
          <w:rFonts w:ascii="Garamond" w:hAnsi="Garamond" w:cs="Times New Roman"/>
          <w:lang w:val="en-GB"/>
        </w:rPr>
        <w:t>sectors, the EU27 is the second top destination, with 21% and 22% respectively. A very different situation comes out for M&amp;A: the EU27 is the top destination in manufacturing (47%) followed by Northern and Central America (22%), while the opposite happens for services, where Northern and Central America are the top destination (43%) and the EU27 is the second (26%). The main difference can be found in the degree of concentration of M&amp;A: in fact, while the single top countries in both manufacturing and service greenfield have a share of around 10%, for M&amp;A the top country (the United States) attracts the 20% of total M&amp;A in manufacturing and the 39% in services.</w:t>
      </w:r>
    </w:p>
    <w:p w14:paraId="69DB6CFC" w14:textId="77777777" w:rsidR="000309D3" w:rsidRPr="000604BD" w:rsidRDefault="000309D3" w:rsidP="004B531E">
      <w:pPr>
        <w:spacing w:line="360" w:lineRule="auto"/>
        <w:jc w:val="both"/>
        <w:rPr>
          <w:rFonts w:ascii="Garamond" w:hAnsi="Garamond" w:cs="Times New Roman"/>
          <w:lang w:val="en-GB"/>
        </w:rPr>
      </w:pPr>
    </w:p>
    <w:p w14:paraId="6E14D16C" w14:textId="10EC4A2E" w:rsidR="00800A57" w:rsidRPr="000604BD" w:rsidRDefault="00445272" w:rsidP="004B531E">
      <w:pPr>
        <w:spacing w:line="360" w:lineRule="auto"/>
        <w:jc w:val="both"/>
        <w:rPr>
          <w:rFonts w:ascii="Garamond" w:hAnsi="Garamond" w:cs="Times New Roman"/>
          <w:b/>
          <w:i/>
          <w:lang w:val="en-GB"/>
        </w:rPr>
      </w:pPr>
      <w:r w:rsidRPr="000604BD">
        <w:rPr>
          <w:rFonts w:ascii="Garamond" w:hAnsi="Garamond" w:cs="Times New Roman"/>
          <w:b/>
          <w:i/>
          <w:lang w:val="en-GB"/>
        </w:rPr>
        <w:t xml:space="preserve">From a deal-level </w:t>
      </w:r>
      <w:r w:rsidR="00800A57" w:rsidRPr="000604BD">
        <w:rPr>
          <w:rFonts w:ascii="Garamond" w:hAnsi="Garamond" w:cs="Times New Roman"/>
          <w:b/>
          <w:i/>
          <w:lang w:val="en-GB"/>
        </w:rPr>
        <w:t>to a BG perspective</w:t>
      </w:r>
    </w:p>
    <w:p w14:paraId="288E74A1" w14:textId="33DAD80C" w:rsidR="00580356" w:rsidRPr="000604BD" w:rsidRDefault="009571A8" w:rsidP="004B5E41">
      <w:pPr>
        <w:spacing w:line="360" w:lineRule="auto"/>
        <w:jc w:val="both"/>
        <w:rPr>
          <w:rFonts w:ascii="Garamond" w:hAnsi="Garamond" w:cs="Times New Roman"/>
          <w:lang w:val="en-GB"/>
        </w:rPr>
      </w:pPr>
      <w:r w:rsidRPr="000604BD">
        <w:rPr>
          <w:rFonts w:ascii="Garamond" w:hAnsi="Garamond" w:cs="Times New Roman"/>
          <w:lang w:val="en-GB"/>
        </w:rPr>
        <w:t>In the previous section we described the presence of Chinese and Indian investment i</w:t>
      </w:r>
      <w:r w:rsidR="00E85E4C" w:rsidRPr="000604BD">
        <w:rPr>
          <w:rFonts w:ascii="Garamond" w:hAnsi="Garamond" w:cs="Times New Roman"/>
          <w:lang w:val="en-GB"/>
        </w:rPr>
        <w:t>n Europe through evidence on</w:t>
      </w:r>
      <w:r w:rsidRPr="000604BD">
        <w:rPr>
          <w:rFonts w:ascii="Garamond" w:hAnsi="Garamond" w:cs="Times New Roman"/>
          <w:lang w:val="en-GB"/>
        </w:rPr>
        <w:t xml:space="preserve"> single investment deals. However, in order to perform a comprehensive analysis of corporate investment strategies we have to consider that </w:t>
      </w:r>
      <w:r w:rsidR="00E85E4C" w:rsidRPr="000604BD">
        <w:rPr>
          <w:rFonts w:ascii="Garamond" w:hAnsi="Garamond" w:cs="Times New Roman"/>
          <w:lang w:val="en-GB"/>
        </w:rPr>
        <w:t xml:space="preserve">foreign investments may not be isolated and unrelated one to another. Instead, not only can investing firms carry out multiple investments, but it could also be the case that different investing firms </w:t>
      </w:r>
      <w:r w:rsidR="00442769" w:rsidRPr="000604BD">
        <w:rPr>
          <w:rFonts w:ascii="Garamond" w:hAnsi="Garamond" w:cs="Times New Roman"/>
          <w:lang w:val="en-GB"/>
        </w:rPr>
        <w:t>are</w:t>
      </w:r>
      <w:r w:rsidR="00E85E4C" w:rsidRPr="000604BD">
        <w:rPr>
          <w:rFonts w:ascii="Garamond" w:hAnsi="Garamond" w:cs="Times New Roman"/>
          <w:lang w:val="en-GB"/>
        </w:rPr>
        <w:t xml:space="preserve"> related to one another because they belong to the same BG. In this case, </w:t>
      </w:r>
      <w:r w:rsidR="007F425E" w:rsidRPr="000604BD">
        <w:rPr>
          <w:rFonts w:ascii="Garamond" w:hAnsi="Garamond" w:cs="Times New Roman"/>
          <w:lang w:val="en-GB"/>
        </w:rPr>
        <w:t>investments carried out by investing firms belonging to the same BG should be considered altogether as part of an overall internationalisation strategy. Therefore, in this secti</w:t>
      </w:r>
      <w:r w:rsidR="002549E8" w:rsidRPr="000604BD">
        <w:rPr>
          <w:rFonts w:ascii="Garamond" w:hAnsi="Garamond" w:cs="Times New Roman"/>
          <w:lang w:val="en-GB"/>
        </w:rPr>
        <w:t>on we group investment deals according to the BG they ultimately refer to.</w:t>
      </w:r>
    </w:p>
    <w:p w14:paraId="36FDF481" w14:textId="3A15523C" w:rsidR="00C31E26" w:rsidRPr="000604BD" w:rsidRDefault="004B5E41" w:rsidP="00C31E26">
      <w:pPr>
        <w:spacing w:after="0" w:line="360" w:lineRule="auto"/>
        <w:jc w:val="both"/>
        <w:rPr>
          <w:rFonts w:ascii="Garamond" w:hAnsi="Garamond" w:cs="Times New Roman"/>
          <w:lang w:val="en-GB"/>
        </w:rPr>
      </w:pPr>
      <w:r w:rsidRPr="000604BD">
        <w:rPr>
          <w:rFonts w:ascii="Garamond" w:eastAsia="Times New Roman" w:hAnsi="Garamond" w:cs="Times New Roman"/>
          <w:color w:val="000000"/>
          <w:lang w:val="en-GB" w:eastAsia="it-IT"/>
        </w:rPr>
        <w:t>Chinese BGs investing in the EU27 over the years 2003-2011 are 513 and they account for 841 investment deals (Table 1a). Indian BGs investing in the EU27 are 449 accounting for 949 deals</w:t>
      </w:r>
      <w:r w:rsidR="00CD55B6" w:rsidRPr="000604BD">
        <w:rPr>
          <w:rFonts w:ascii="Garamond" w:eastAsia="Times New Roman" w:hAnsi="Garamond" w:cs="Times New Roman"/>
          <w:color w:val="000000"/>
          <w:lang w:val="en-GB" w:eastAsia="it-IT"/>
        </w:rPr>
        <w:t xml:space="preserve"> (Table 1b)</w:t>
      </w:r>
      <w:r w:rsidRPr="000604BD">
        <w:rPr>
          <w:rFonts w:ascii="Garamond" w:eastAsia="Times New Roman" w:hAnsi="Garamond" w:cs="Times New Roman"/>
          <w:color w:val="000000"/>
          <w:lang w:val="en-GB" w:eastAsia="it-IT"/>
        </w:rPr>
        <w:t>.</w:t>
      </w:r>
      <w:r w:rsidR="00CD55B6" w:rsidRPr="000604BD">
        <w:rPr>
          <w:rFonts w:ascii="Garamond" w:eastAsia="Times New Roman" w:hAnsi="Garamond" w:cs="Times New Roman"/>
          <w:color w:val="000000"/>
          <w:lang w:val="en-GB" w:eastAsia="it-IT"/>
        </w:rPr>
        <w:t xml:space="preserve"> </w:t>
      </w:r>
      <w:r w:rsidR="000309D3" w:rsidRPr="000604BD">
        <w:rPr>
          <w:rFonts w:ascii="Garamond" w:hAnsi="Garamond" w:cs="Times New Roman"/>
          <w:lang w:val="en-GB"/>
        </w:rPr>
        <w:t xml:space="preserve">The single most evident feature that characterises Chinese and Indian BGs entering Europe is the vast majority of firms with </w:t>
      </w:r>
      <w:r w:rsidR="00CD55B6" w:rsidRPr="000604BD">
        <w:rPr>
          <w:rFonts w:ascii="Garamond" w:hAnsi="Garamond" w:cs="Times New Roman"/>
          <w:lang w:val="en-GB"/>
        </w:rPr>
        <w:t xml:space="preserve">investment deals in </w:t>
      </w:r>
      <w:r w:rsidR="000309D3" w:rsidRPr="000604BD">
        <w:rPr>
          <w:rFonts w:ascii="Garamond" w:hAnsi="Garamond" w:cs="Times New Roman"/>
          <w:lang w:val="en-GB"/>
        </w:rPr>
        <w:t xml:space="preserve">just one </w:t>
      </w:r>
      <w:r w:rsidR="00CD55B6" w:rsidRPr="000604BD">
        <w:rPr>
          <w:rFonts w:ascii="Garamond" w:hAnsi="Garamond" w:cs="Times New Roman"/>
          <w:lang w:val="en-GB"/>
        </w:rPr>
        <w:t xml:space="preserve">country and sector (most of them have just one European </w:t>
      </w:r>
      <w:r w:rsidR="00372E4A" w:rsidRPr="000604BD">
        <w:rPr>
          <w:rFonts w:ascii="Garamond" w:hAnsi="Garamond" w:cs="Times New Roman"/>
          <w:lang w:val="en-GB"/>
        </w:rPr>
        <w:t>affiliate</w:t>
      </w:r>
      <w:r w:rsidR="00CD55B6" w:rsidRPr="000604BD">
        <w:rPr>
          <w:rFonts w:ascii="Garamond" w:hAnsi="Garamond" w:cs="Times New Roman"/>
          <w:lang w:val="en-GB"/>
        </w:rPr>
        <w:t xml:space="preserve">, </w:t>
      </w:r>
      <w:r w:rsidR="000B1632">
        <w:rPr>
          <w:rFonts w:ascii="Garamond" w:hAnsi="Garamond" w:cs="Times New Roman"/>
          <w:lang w:val="en-GB"/>
        </w:rPr>
        <w:t>only</w:t>
      </w:r>
      <w:r w:rsidR="00CD55B6" w:rsidRPr="000604BD">
        <w:rPr>
          <w:rFonts w:ascii="Garamond" w:hAnsi="Garamond" w:cs="Times New Roman"/>
          <w:lang w:val="en-GB"/>
        </w:rPr>
        <w:t xml:space="preserve"> very few hav</w:t>
      </w:r>
      <w:r w:rsidR="000B1632">
        <w:rPr>
          <w:rFonts w:ascii="Garamond" w:hAnsi="Garamond" w:cs="Times New Roman"/>
          <w:lang w:val="en-GB"/>
        </w:rPr>
        <w:t>e</w:t>
      </w:r>
      <w:r w:rsidR="00CD55B6" w:rsidRPr="000604BD">
        <w:rPr>
          <w:rFonts w:ascii="Garamond" w:hAnsi="Garamond" w:cs="Times New Roman"/>
          <w:lang w:val="en-GB"/>
        </w:rPr>
        <w:t xml:space="preserve"> more than one affiliate – </w:t>
      </w:r>
      <w:r w:rsidR="000B1632">
        <w:rPr>
          <w:rFonts w:ascii="Garamond" w:hAnsi="Garamond" w:cs="Times New Roman"/>
          <w:lang w:val="en-GB"/>
        </w:rPr>
        <w:t xml:space="preserve">so that </w:t>
      </w:r>
      <w:r w:rsidR="00CD55B6" w:rsidRPr="000604BD">
        <w:rPr>
          <w:rFonts w:ascii="Garamond" w:hAnsi="Garamond" w:cs="Times New Roman"/>
          <w:lang w:val="en-GB"/>
        </w:rPr>
        <w:t>the average number of deals for this group is</w:t>
      </w:r>
      <w:r w:rsidR="000B1632">
        <w:rPr>
          <w:rFonts w:ascii="Garamond" w:hAnsi="Garamond" w:cs="Times New Roman"/>
          <w:lang w:val="en-GB"/>
        </w:rPr>
        <w:t xml:space="preserve"> close to 1 and it is the same for China and India</w:t>
      </w:r>
      <w:r w:rsidR="00CD55B6" w:rsidRPr="000604BD">
        <w:rPr>
          <w:rFonts w:ascii="Garamond" w:hAnsi="Garamond" w:cs="Times New Roman"/>
          <w:lang w:val="en-GB"/>
        </w:rPr>
        <w:t>)</w:t>
      </w:r>
      <w:r w:rsidR="00372E4A" w:rsidRPr="000604BD">
        <w:rPr>
          <w:rFonts w:ascii="Garamond" w:hAnsi="Garamond" w:cs="Times New Roman"/>
          <w:lang w:val="en-GB"/>
        </w:rPr>
        <w:t>. This type</w:t>
      </w:r>
      <w:r w:rsidR="000309D3" w:rsidRPr="000604BD">
        <w:rPr>
          <w:rFonts w:ascii="Garamond" w:hAnsi="Garamond" w:cs="Times New Roman"/>
          <w:lang w:val="en-GB"/>
        </w:rPr>
        <w:t xml:space="preserve"> of BGs </w:t>
      </w:r>
      <w:r w:rsidR="00D300EB">
        <w:rPr>
          <w:rFonts w:ascii="Garamond" w:hAnsi="Garamond" w:cs="Times New Roman"/>
          <w:lang w:val="en-GB"/>
        </w:rPr>
        <w:t xml:space="preserve">with an extremely simple diversification strategy </w:t>
      </w:r>
      <w:r w:rsidR="000309D3" w:rsidRPr="000604BD">
        <w:rPr>
          <w:rFonts w:ascii="Garamond" w:hAnsi="Garamond" w:cs="Times New Roman"/>
          <w:lang w:val="en-GB"/>
        </w:rPr>
        <w:t>– which we call “timid internationalisers” –</w:t>
      </w:r>
      <w:r w:rsidR="00A475F1">
        <w:rPr>
          <w:rFonts w:ascii="Garamond" w:hAnsi="Garamond" w:cs="Times New Roman"/>
          <w:lang w:val="en-GB"/>
        </w:rPr>
        <w:t xml:space="preserve"> outnumbers by far all other types of BGs for both countries, but much more so for China than for India. </w:t>
      </w:r>
      <w:r w:rsidR="00FB746B">
        <w:rPr>
          <w:rFonts w:ascii="Garamond" w:hAnsi="Garamond" w:cs="Times New Roman"/>
          <w:lang w:val="en-GB"/>
        </w:rPr>
        <w:t>“</w:t>
      </w:r>
      <w:r w:rsidR="00A475F1">
        <w:rPr>
          <w:rFonts w:ascii="Garamond" w:hAnsi="Garamond" w:cs="Times New Roman"/>
          <w:lang w:val="en-GB"/>
        </w:rPr>
        <w:t>Timid internationalisers</w:t>
      </w:r>
      <w:r w:rsidR="00FB746B">
        <w:rPr>
          <w:rFonts w:ascii="Garamond" w:hAnsi="Garamond" w:cs="Times New Roman"/>
          <w:lang w:val="en-GB"/>
        </w:rPr>
        <w:t>”</w:t>
      </w:r>
      <w:r w:rsidR="00A475F1">
        <w:rPr>
          <w:rFonts w:ascii="Garamond" w:hAnsi="Garamond" w:cs="Times New Roman"/>
          <w:lang w:val="en-GB"/>
        </w:rPr>
        <w:t xml:space="preserve"> from China are</w:t>
      </w:r>
      <w:r w:rsidR="000309D3" w:rsidRPr="000604BD">
        <w:rPr>
          <w:rFonts w:ascii="Garamond" w:hAnsi="Garamond" w:cs="Times New Roman"/>
          <w:lang w:val="en-GB"/>
        </w:rPr>
        <w:t xml:space="preserve"> </w:t>
      </w:r>
      <w:r w:rsidR="00372E4A" w:rsidRPr="000604BD">
        <w:rPr>
          <w:rFonts w:ascii="Garamond" w:hAnsi="Garamond" w:cs="Times New Roman"/>
          <w:lang w:val="en-GB"/>
        </w:rPr>
        <w:t xml:space="preserve">437 (85% of the total) and 326 </w:t>
      </w:r>
      <w:r w:rsidR="00A475F1">
        <w:rPr>
          <w:rFonts w:ascii="Garamond" w:hAnsi="Garamond" w:cs="Times New Roman"/>
          <w:lang w:val="en-GB"/>
        </w:rPr>
        <w:t xml:space="preserve">from India </w:t>
      </w:r>
      <w:r w:rsidR="00372E4A" w:rsidRPr="000604BD">
        <w:rPr>
          <w:rFonts w:ascii="Garamond" w:hAnsi="Garamond" w:cs="Times New Roman"/>
          <w:lang w:val="en-GB"/>
        </w:rPr>
        <w:t xml:space="preserve">(73% of the total) </w:t>
      </w:r>
      <w:r w:rsidR="00CD55B6" w:rsidRPr="000604BD">
        <w:rPr>
          <w:rFonts w:ascii="Garamond" w:hAnsi="Garamond" w:cs="Times New Roman"/>
          <w:lang w:val="en-GB"/>
        </w:rPr>
        <w:t xml:space="preserve">(they account for </w:t>
      </w:r>
      <w:r w:rsidR="00CD55B6" w:rsidRPr="000604BD">
        <w:rPr>
          <w:rFonts w:ascii="Garamond" w:hAnsi="Garamond" w:cs="Times New Roman"/>
          <w:lang w:val="en-GB"/>
        </w:rPr>
        <w:lastRenderedPageBreak/>
        <w:t>477 and 374 deals respectively)</w:t>
      </w:r>
      <w:r w:rsidR="000309D3" w:rsidRPr="000604BD">
        <w:rPr>
          <w:rFonts w:ascii="Garamond" w:hAnsi="Garamond" w:cs="Times New Roman"/>
          <w:lang w:val="en-GB"/>
        </w:rPr>
        <w:t>.</w:t>
      </w:r>
      <w:r w:rsidR="00CD55B6" w:rsidRPr="000604BD">
        <w:rPr>
          <w:rFonts w:ascii="Garamond" w:hAnsi="Garamond" w:cs="Times New Roman"/>
          <w:lang w:val="en-GB"/>
        </w:rPr>
        <w:t xml:space="preserve"> </w:t>
      </w:r>
      <w:r w:rsidR="00C31E26">
        <w:rPr>
          <w:rFonts w:ascii="Garamond" w:hAnsi="Garamond" w:cs="Times New Roman"/>
          <w:lang w:val="en-GB"/>
        </w:rPr>
        <w:t>Although -- with the current dataset -- we cannot contrast these BGs’ expansion strategies in Europe with other regions, nor can we discuss their role within global internationalisation strategies, the vast majority of “timid internationalisers” shows that Europe is considered as a sort of outpost –</w:t>
      </w:r>
      <w:r w:rsidR="00D300EB">
        <w:rPr>
          <w:rFonts w:ascii="Garamond" w:hAnsi="Garamond" w:cs="Times New Roman"/>
          <w:lang w:val="en-GB"/>
        </w:rPr>
        <w:t xml:space="preserve"> most probably</w:t>
      </w:r>
      <w:r w:rsidR="00C31E26">
        <w:rPr>
          <w:rFonts w:ascii="Garamond" w:hAnsi="Garamond" w:cs="Times New Roman"/>
          <w:lang w:val="en-GB"/>
        </w:rPr>
        <w:t xml:space="preserve"> as an entry point to the EU internal market – for Chinese and Indian groups. </w:t>
      </w:r>
    </w:p>
    <w:p w14:paraId="6047BBF4" w14:textId="77777777" w:rsidR="00853F01" w:rsidRPr="000604BD" w:rsidRDefault="00853F01" w:rsidP="00CD55B6">
      <w:pPr>
        <w:spacing w:after="0" w:line="360" w:lineRule="auto"/>
        <w:jc w:val="both"/>
        <w:rPr>
          <w:rFonts w:ascii="Garamond" w:hAnsi="Garamond" w:cs="Times New Roman"/>
          <w:lang w:val="en-GB"/>
        </w:rPr>
      </w:pPr>
    </w:p>
    <w:p w14:paraId="2E44ECE9" w14:textId="77777777" w:rsidR="00CD55B6" w:rsidRPr="000604BD" w:rsidRDefault="00CD55B6" w:rsidP="00CD55B6">
      <w:pPr>
        <w:spacing w:after="0" w:line="360" w:lineRule="auto"/>
        <w:jc w:val="both"/>
        <w:rPr>
          <w:rFonts w:ascii="Garamond" w:hAnsi="Garamond" w:cs="Times New Roman"/>
          <w:lang w:val="en-GB"/>
        </w:rPr>
      </w:pPr>
    </w:p>
    <w:p w14:paraId="3D557588" w14:textId="09213CEE" w:rsidR="003D33F7" w:rsidRPr="000604BD" w:rsidRDefault="00800A57" w:rsidP="00853F01">
      <w:pPr>
        <w:spacing w:after="0" w:line="360" w:lineRule="auto"/>
        <w:jc w:val="center"/>
        <w:rPr>
          <w:rFonts w:ascii="Garamond" w:hAnsi="Garamond" w:cs="Times New Roman"/>
          <w:b/>
          <w:sz w:val="16"/>
          <w:szCs w:val="16"/>
          <w:lang w:val="en-GB"/>
        </w:rPr>
      </w:pPr>
      <w:r w:rsidRPr="000604BD">
        <w:rPr>
          <w:rFonts w:ascii="Garamond" w:hAnsi="Garamond" w:cs="Times New Roman"/>
          <w:b/>
          <w:sz w:val="16"/>
          <w:szCs w:val="16"/>
          <w:lang w:val="en-GB"/>
        </w:rPr>
        <w:t>Table 1</w:t>
      </w:r>
      <w:r w:rsidR="005C6C03" w:rsidRPr="000604BD">
        <w:rPr>
          <w:rFonts w:ascii="Garamond" w:hAnsi="Garamond" w:cs="Times New Roman"/>
          <w:b/>
          <w:sz w:val="16"/>
          <w:szCs w:val="16"/>
          <w:lang w:val="en-GB"/>
        </w:rPr>
        <w:t xml:space="preserve">     </w:t>
      </w:r>
      <w:r w:rsidRPr="000604BD">
        <w:rPr>
          <w:rFonts w:ascii="Garamond" w:hAnsi="Garamond" w:cs="Times New Roman"/>
          <w:b/>
          <w:sz w:val="16"/>
          <w:szCs w:val="16"/>
          <w:lang w:val="en-GB"/>
        </w:rPr>
        <w:t xml:space="preserve"> </w:t>
      </w:r>
      <w:r w:rsidR="004B5E41" w:rsidRPr="000604BD">
        <w:rPr>
          <w:rFonts w:ascii="Garamond" w:hAnsi="Garamond" w:cs="Times New Roman"/>
          <w:b/>
          <w:sz w:val="16"/>
          <w:szCs w:val="16"/>
          <w:lang w:val="en-GB"/>
        </w:rPr>
        <w:t>Typology of BGs according to FDI distribution across sectors and countries in Europe</w:t>
      </w:r>
    </w:p>
    <w:tbl>
      <w:tblPr>
        <w:tblW w:w="8600" w:type="dxa"/>
        <w:jc w:val="center"/>
        <w:tblCellMar>
          <w:left w:w="70" w:type="dxa"/>
          <w:right w:w="70" w:type="dxa"/>
        </w:tblCellMar>
        <w:tblLook w:val="04A0" w:firstRow="1" w:lastRow="0" w:firstColumn="1" w:lastColumn="0" w:noHBand="0" w:noVBand="1"/>
      </w:tblPr>
      <w:tblGrid>
        <w:gridCol w:w="1500"/>
        <w:gridCol w:w="260"/>
        <w:gridCol w:w="500"/>
        <w:gridCol w:w="991"/>
        <w:gridCol w:w="860"/>
        <w:gridCol w:w="1762"/>
        <w:gridCol w:w="87"/>
        <w:gridCol w:w="1837"/>
        <w:gridCol w:w="803"/>
      </w:tblGrid>
      <w:tr w:rsidR="00AC5F19" w:rsidRPr="000604BD" w14:paraId="7196F6F6" w14:textId="77777777" w:rsidTr="005C6C03">
        <w:trPr>
          <w:trHeight w:val="315"/>
          <w:jc w:val="center"/>
        </w:trPr>
        <w:tc>
          <w:tcPr>
            <w:tcW w:w="1500" w:type="dxa"/>
            <w:shd w:val="clear" w:color="auto" w:fill="auto"/>
            <w:noWrap/>
            <w:vAlign w:val="bottom"/>
            <w:hideMark/>
          </w:tcPr>
          <w:p w14:paraId="58002116"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260" w:type="dxa"/>
            <w:shd w:val="clear" w:color="auto" w:fill="auto"/>
            <w:noWrap/>
            <w:vAlign w:val="bottom"/>
            <w:hideMark/>
          </w:tcPr>
          <w:p w14:paraId="18023E08"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500" w:type="dxa"/>
            <w:shd w:val="clear" w:color="auto" w:fill="auto"/>
            <w:noWrap/>
            <w:vAlign w:val="bottom"/>
            <w:hideMark/>
          </w:tcPr>
          <w:p w14:paraId="2912881B"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991" w:type="dxa"/>
            <w:shd w:val="clear" w:color="auto" w:fill="auto"/>
            <w:noWrap/>
            <w:vAlign w:val="bottom"/>
            <w:hideMark/>
          </w:tcPr>
          <w:p w14:paraId="46FC4D6C"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860" w:type="dxa"/>
            <w:shd w:val="clear" w:color="auto" w:fill="auto"/>
            <w:noWrap/>
            <w:vAlign w:val="bottom"/>
            <w:hideMark/>
          </w:tcPr>
          <w:p w14:paraId="58330B5D"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686" w:type="dxa"/>
            <w:gridSpan w:val="3"/>
            <w:shd w:val="clear" w:color="auto" w:fill="auto"/>
            <w:noWrap/>
            <w:vAlign w:val="bottom"/>
            <w:hideMark/>
          </w:tcPr>
          <w:p w14:paraId="344ACAAA" w14:textId="344DA6E9" w:rsidR="00AC5F19" w:rsidRPr="000604BD" w:rsidRDefault="00AC5F19" w:rsidP="00853F01">
            <w:pPr>
              <w:spacing w:after="0" w:line="240" w:lineRule="auto"/>
              <w:jc w:val="center"/>
              <w:rPr>
                <w:rFonts w:ascii="Garamond" w:eastAsia="Times New Roman" w:hAnsi="Garamond" w:cs="Times New Roman"/>
                <w:color w:val="000000"/>
                <w:sz w:val="16"/>
                <w:szCs w:val="16"/>
                <w:lang w:val="en-GB" w:eastAsia="it-IT"/>
              </w:rPr>
            </w:pPr>
          </w:p>
          <w:p w14:paraId="13B17F3D" w14:textId="07BAA02B" w:rsidR="00AC5F19" w:rsidRPr="000604BD" w:rsidRDefault="00105B27"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w:t>
            </w:r>
            <w:r w:rsidR="00AC5F19" w:rsidRPr="000604BD">
              <w:rPr>
                <w:rFonts w:ascii="Garamond" w:eastAsia="Times New Roman" w:hAnsi="Garamond" w:cs="Times New Roman"/>
                <w:color w:val="000000"/>
                <w:sz w:val="16"/>
                <w:szCs w:val="16"/>
                <w:lang w:val="en-GB" w:eastAsia="it-IT"/>
              </w:rPr>
              <w:t>ectors</w:t>
            </w:r>
          </w:p>
        </w:tc>
        <w:tc>
          <w:tcPr>
            <w:tcW w:w="803" w:type="dxa"/>
            <w:shd w:val="clear" w:color="auto" w:fill="auto"/>
            <w:noWrap/>
            <w:vAlign w:val="bottom"/>
            <w:hideMark/>
          </w:tcPr>
          <w:p w14:paraId="1B6AF71E"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AC5F19" w:rsidRPr="000604BD" w14:paraId="6EB6EA04" w14:textId="77777777" w:rsidTr="005C6C03">
        <w:trPr>
          <w:trHeight w:val="315"/>
          <w:jc w:val="center"/>
        </w:trPr>
        <w:tc>
          <w:tcPr>
            <w:tcW w:w="1500" w:type="dxa"/>
            <w:shd w:val="clear" w:color="auto" w:fill="auto"/>
            <w:noWrap/>
            <w:vAlign w:val="bottom"/>
          </w:tcPr>
          <w:p w14:paraId="53129B9E"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p>
        </w:tc>
        <w:tc>
          <w:tcPr>
            <w:tcW w:w="260" w:type="dxa"/>
            <w:shd w:val="clear" w:color="auto" w:fill="auto"/>
            <w:noWrap/>
            <w:vAlign w:val="bottom"/>
          </w:tcPr>
          <w:p w14:paraId="0BE8D737"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p>
        </w:tc>
        <w:tc>
          <w:tcPr>
            <w:tcW w:w="500" w:type="dxa"/>
            <w:shd w:val="clear" w:color="auto" w:fill="auto"/>
            <w:noWrap/>
            <w:vAlign w:val="bottom"/>
          </w:tcPr>
          <w:p w14:paraId="7E951226"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p>
        </w:tc>
        <w:tc>
          <w:tcPr>
            <w:tcW w:w="991" w:type="dxa"/>
            <w:shd w:val="clear" w:color="auto" w:fill="auto"/>
            <w:noWrap/>
            <w:vAlign w:val="bottom"/>
          </w:tcPr>
          <w:p w14:paraId="37E62C59"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p>
        </w:tc>
        <w:tc>
          <w:tcPr>
            <w:tcW w:w="860" w:type="dxa"/>
            <w:shd w:val="clear" w:color="auto" w:fill="auto"/>
            <w:noWrap/>
            <w:vAlign w:val="bottom"/>
          </w:tcPr>
          <w:p w14:paraId="14402595"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p>
        </w:tc>
        <w:tc>
          <w:tcPr>
            <w:tcW w:w="1849" w:type="dxa"/>
            <w:gridSpan w:val="2"/>
            <w:tcBorders>
              <w:bottom w:val="single" w:sz="4" w:space="0" w:color="auto"/>
            </w:tcBorders>
            <w:shd w:val="clear" w:color="auto" w:fill="auto"/>
            <w:noWrap/>
            <w:vAlign w:val="bottom"/>
          </w:tcPr>
          <w:p w14:paraId="7BEE7109" w14:textId="7A3C93DC" w:rsidR="00AC5F19" w:rsidRPr="000604BD" w:rsidRDefault="00AC5F19"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1837" w:type="dxa"/>
            <w:tcBorders>
              <w:bottom w:val="single" w:sz="4" w:space="0" w:color="auto"/>
            </w:tcBorders>
            <w:shd w:val="clear" w:color="auto" w:fill="auto"/>
            <w:noWrap/>
            <w:vAlign w:val="bottom"/>
          </w:tcPr>
          <w:p w14:paraId="0573510C" w14:textId="01015B3B" w:rsidR="00AC5F19" w:rsidRPr="000604BD" w:rsidRDefault="00AC5F19"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&gt;1</w:t>
            </w:r>
          </w:p>
        </w:tc>
        <w:tc>
          <w:tcPr>
            <w:tcW w:w="803" w:type="dxa"/>
            <w:shd w:val="clear" w:color="auto" w:fill="auto"/>
            <w:noWrap/>
            <w:vAlign w:val="bottom"/>
          </w:tcPr>
          <w:p w14:paraId="33F8E6B1" w14:textId="77777777" w:rsidR="00AC5F19" w:rsidRPr="000604BD" w:rsidRDefault="00AC5F19" w:rsidP="00853F01">
            <w:pPr>
              <w:spacing w:after="0" w:line="240" w:lineRule="auto"/>
              <w:rPr>
                <w:rFonts w:ascii="Garamond" w:eastAsia="Times New Roman" w:hAnsi="Garamond" w:cs="Times New Roman"/>
                <w:color w:val="000000"/>
                <w:sz w:val="16"/>
                <w:szCs w:val="16"/>
                <w:lang w:val="en-GB" w:eastAsia="it-IT"/>
              </w:rPr>
            </w:pPr>
          </w:p>
        </w:tc>
      </w:tr>
      <w:tr w:rsidR="00BB1AF1" w:rsidRPr="000604BD" w14:paraId="60E6D33F" w14:textId="77777777" w:rsidTr="005C6C03">
        <w:trPr>
          <w:trHeight w:val="315"/>
          <w:jc w:val="center"/>
        </w:trPr>
        <w:tc>
          <w:tcPr>
            <w:tcW w:w="1500" w:type="dxa"/>
            <w:shd w:val="clear" w:color="auto" w:fill="auto"/>
            <w:noWrap/>
            <w:vAlign w:val="center"/>
            <w:hideMark/>
          </w:tcPr>
          <w:p w14:paraId="478D3CFE" w14:textId="7DBC2B6B" w:rsidR="00BB1AF1" w:rsidRPr="000604BD" w:rsidRDefault="00BB1AF1" w:rsidP="00853F01">
            <w:pPr>
              <w:pStyle w:val="ListParagraph"/>
              <w:numPr>
                <w:ilvl w:val="0"/>
                <w:numId w:val="8"/>
              </w:num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CHINA</w:t>
            </w:r>
          </w:p>
        </w:tc>
        <w:tc>
          <w:tcPr>
            <w:tcW w:w="260" w:type="dxa"/>
            <w:shd w:val="clear" w:color="auto" w:fill="auto"/>
            <w:noWrap/>
            <w:vAlign w:val="bottom"/>
            <w:hideMark/>
          </w:tcPr>
          <w:p w14:paraId="1069BF68"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p>
        </w:tc>
        <w:tc>
          <w:tcPr>
            <w:tcW w:w="500" w:type="dxa"/>
            <w:shd w:val="clear" w:color="auto" w:fill="auto"/>
            <w:noWrap/>
            <w:vAlign w:val="bottom"/>
            <w:hideMark/>
          </w:tcPr>
          <w:p w14:paraId="43E0B82C" w14:textId="77777777" w:rsidR="00BB1AF1" w:rsidRPr="000604BD" w:rsidRDefault="00BB1AF1" w:rsidP="00853F01">
            <w:pPr>
              <w:spacing w:after="0" w:line="240" w:lineRule="auto"/>
              <w:rPr>
                <w:rFonts w:ascii="Garamond" w:eastAsia="Times New Roman" w:hAnsi="Garamond" w:cs="Times New Roman"/>
                <w:sz w:val="16"/>
                <w:szCs w:val="16"/>
                <w:lang w:val="en-GB" w:eastAsia="it-IT"/>
              </w:rPr>
            </w:pPr>
          </w:p>
        </w:tc>
        <w:tc>
          <w:tcPr>
            <w:tcW w:w="991" w:type="dxa"/>
            <w:vMerge w:val="restart"/>
            <w:shd w:val="clear" w:color="auto" w:fill="auto"/>
            <w:noWrap/>
            <w:vAlign w:val="center"/>
            <w:hideMark/>
          </w:tcPr>
          <w:p w14:paraId="1F063D17"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countries</w:t>
            </w:r>
          </w:p>
        </w:tc>
        <w:tc>
          <w:tcPr>
            <w:tcW w:w="860" w:type="dxa"/>
            <w:tcBorders>
              <w:right w:val="single" w:sz="4" w:space="0" w:color="auto"/>
            </w:tcBorders>
            <w:shd w:val="clear" w:color="auto" w:fill="auto"/>
            <w:noWrap/>
            <w:vAlign w:val="bottom"/>
            <w:hideMark/>
          </w:tcPr>
          <w:p w14:paraId="4D624B4F"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&gt;1</w:t>
            </w:r>
          </w:p>
        </w:tc>
        <w:tc>
          <w:tcPr>
            <w:tcW w:w="1849" w:type="dxa"/>
            <w:gridSpan w:val="2"/>
            <w:tcBorders>
              <w:top w:val="single" w:sz="4" w:space="0" w:color="auto"/>
              <w:left w:val="single" w:sz="4" w:space="0" w:color="auto"/>
            </w:tcBorders>
            <w:shd w:val="clear" w:color="auto" w:fill="auto"/>
            <w:noWrap/>
            <w:vAlign w:val="bottom"/>
            <w:hideMark/>
          </w:tcPr>
          <w:p w14:paraId="4EEFF921" w14:textId="494B92E5"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38</w:t>
            </w:r>
            <w:r w:rsidR="00AC5F19" w:rsidRPr="000604BD">
              <w:rPr>
                <w:rFonts w:ascii="Garamond" w:eastAsia="Times New Roman" w:hAnsi="Garamond" w:cs="Times New Roman"/>
                <w:color w:val="000000"/>
                <w:sz w:val="16"/>
                <w:szCs w:val="16"/>
                <w:lang w:val="en-GB" w:eastAsia="it-IT"/>
              </w:rPr>
              <w:t xml:space="preserve"> BGs</w:t>
            </w:r>
            <w:r w:rsidRPr="000604BD">
              <w:rPr>
                <w:rFonts w:ascii="Garamond" w:eastAsia="Times New Roman" w:hAnsi="Garamond" w:cs="Times New Roman"/>
                <w:color w:val="000000"/>
                <w:sz w:val="16"/>
                <w:szCs w:val="16"/>
                <w:lang w:val="en-GB" w:eastAsia="it-IT"/>
              </w:rPr>
              <w:t xml:space="preserve"> (7%)</w:t>
            </w:r>
            <w:r w:rsidR="00AC5F19" w:rsidRPr="000604BD">
              <w:rPr>
                <w:rFonts w:ascii="Garamond" w:eastAsia="Times New Roman" w:hAnsi="Garamond" w:cs="Times New Roman"/>
                <w:color w:val="000000"/>
                <w:sz w:val="16"/>
                <w:szCs w:val="16"/>
                <w:lang w:val="en-GB" w:eastAsia="it-IT"/>
              </w:rPr>
              <w:t xml:space="preserve"> – 124 FDI</w:t>
            </w:r>
          </w:p>
        </w:tc>
        <w:tc>
          <w:tcPr>
            <w:tcW w:w="1837" w:type="dxa"/>
            <w:tcBorders>
              <w:top w:val="single" w:sz="4" w:space="0" w:color="auto"/>
              <w:right w:val="single" w:sz="4" w:space="0" w:color="auto"/>
            </w:tcBorders>
            <w:shd w:val="clear" w:color="auto" w:fill="auto"/>
            <w:noWrap/>
            <w:vAlign w:val="bottom"/>
            <w:hideMark/>
          </w:tcPr>
          <w:p w14:paraId="67354240" w14:textId="791776ED"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30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(6%)</w:t>
            </w:r>
            <w:r w:rsidR="00AC5F19" w:rsidRPr="000604BD">
              <w:rPr>
                <w:rFonts w:ascii="Garamond" w:eastAsia="Times New Roman" w:hAnsi="Garamond" w:cs="Times New Roman"/>
                <w:color w:val="000000"/>
                <w:sz w:val="16"/>
                <w:szCs w:val="16"/>
                <w:lang w:val="en-GB" w:eastAsia="it-IT"/>
              </w:rPr>
              <w:t xml:space="preserve"> – 223 FDI</w:t>
            </w:r>
          </w:p>
        </w:tc>
        <w:tc>
          <w:tcPr>
            <w:tcW w:w="803" w:type="dxa"/>
            <w:tcBorders>
              <w:left w:val="single" w:sz="4" w:space="0" w:color="auto"/>
            </w:tcBorders>
            <w:shd w:val="clear" w:color="auto" w:fill="auto"/>
            <w:noWrap/>
            <w:vAlign w:val="bottom"/>
            <w:hideMark/>
          </w:tcPr>
          <w:p w14:paraId="013B743C"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BB1AF1" w:rsidRPr="000604BD" w14:paraId="5627D041" w14:textId="77777777" w:rsidTr="005C6C03">
        <w:trPr>
          <w:trHeight w:val="315"/>
          <w:jc w:val="center"/>
        </w:trPr>
        <w:tc>
          <w:tcPr>
            <w:tcW w:w="1500" w:type="dxa"/>
            <w:shd w:val="clear" w:color="auto" w:fill="auto"/>
            <w:noWrap/>
            <w:vAlign w:val="bottom"/>
            <w:hideMark/>
          </w:tcPr>
          <w:p w14:paraId="12431399"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260" w:type="dxa"/>
            <w:shd w:val="clear" w:color="auto" w:fill="auto"/>
            <w:noWrap/>
            <w:vAlign w:val="bottom"/>
            <w:hideMark/>
          </w:tcPr>
          <w:p w14:paraId="32538F41"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500" w:type="dxa"/>
            <w:shd w:val="clear" w:color="auto" w:fill="auto"/>
            <w:noWrap/>
            <w:vAlign w:val="bottom"/>
            <w:hideMark/>
          </w:tcPr>
          <w:p w14:paraId="4AAB6CB5" w14:textId="77777777" w:rsidR="00BB1AF1" w:rsidRPr="000604BD" w:rsidRDefault="00BB1AF1" w:rsidP="00853F01">
            <w:pPr>
              <w:spacing w:after="0" w:line="240" w:lineRule="auto"/>
              <w:rPr>
                <w:rFonts w:ascii="Garamond" w:eastAsia="Times New Roman" w:hAnsi="Garamond" w:cs="Times New Roman"/>
                <w:sz w:val="16"/>
                <w:szCs w:val="16"/>
                <w:lang w:val="en-GB" w:eastAsia="it-IT"/>
              </w:rPr>
            </w:pPr>
          </w:p>
        </w:tc>
        <w:tc>
          <w:tcPr>
            <w:tcW w:w="991" w:type="dxa"/>
            <w:vMerge/>
            <w:vAlign w:val="center"/>
            <w:hideMark/>
          </w:tcPr>
          <w:p w14:paraId="2D762928"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860" w:type="dxa"/>
            <w:tcBorders>
              <w:right w:val="single" w:sz="4" w:space="0" w:color="auto"/>
            </w:tcBorders>
            <w:shd w:val="clear" w:color="auto" w:fill="auto"/>
            <w:noWrap/>
            <w:vAlign w:val="bottom"/>
            <w:hideMark/>
          </w:tcPr>
          <w:p w14:paraId="2915AF5C"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1849" w:type="dxa"/>
            <w:gridSpan w:val="2"/>
            <w:tcBorders>
              <w:left w:val="single" w:sz="4" w:space="0" w:color="auto"/>
              <w:bottom w:val="single" w:sz="4" w:space="0" w:color="auto"/>
            </w:tcBorders>
            <w:shd w:val="clear" w:color="auto" w:fill="auto"/>
            <w:noWrap/>
            <w:vAlign w:val="bottom"/>
            <w:hideMark/>
          </w:tcPr>
          <w:p w14:paraId="3FF52F5E" w14:textId="42E7177A"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437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(85%)</w:t>
            </w:r>
            <w:r w:rsidR="00AC5F19" w:rsidRPr="000604BD">
              <w:rPr>
                <w:rFonts w:ascii="Garamond" w:eastAsia="Times New Roman" w:hAnsi="Garamond" w:cs="Times New Roman"/>
                <w:color w:val="000000"/>
                <w:sz w:val="16"/>
                <w:szCs w:val="16"/>
                <w:lang w:val="en-GB" w:eastAsia="it-IT"/>
              </w:rPr>
              <w:t xml:space="preserve"> – 477 FDI</w:t>
            </w:r>
          </w:p>
        </w:tc>
        <w:tc>
          <w:tcPr>
            <w:tcW w:w="1837" w:type="dxa"/>
            <w:tcBorders>
              <w:bottom w:val="single" w:sz="4" w:space="0" w:color="auto"/>
              <w:right w:val="single" w:sz="4" w:space="0" w:color="auto"/>
            </w:tcBorders>
            <w:shd w:val="clear" w:color="auto" w:fill="auto"/>
            <w:noWrap/>
            <w:vAlign w:val="bottom"/>
            <w:hideMark/>
          </w:tcPr>
          <w:p w14:paraId="3C2705E9" w14:textId="209E6F10"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8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(2%)</w:t>
            </w:r>
            <w:r w:rsidR="00AC5F19" w:rsidRPr="000604BD">
              <w:rPr>
                <w:rFonts w:ascii="Garamond" w:eastAsia="Times New Roman" w:hAnsi="Garamond" w:cs="Times New Roman"/>
                <w:color w:val="000000"/>
                <w:sz w:val="16"/>
                <w:szCs w:val="16"/>
                <w:lang w:val="en-GB" w:eastAsia="it-IT"/>
              </w:rPr>
              <w:t xml:space="preserve"> – 17 FDI</w:t>
            </w:r>
          </w:p>
        </w:tc>
        <w:tc>
          <w:tcPr>
            <w:tcW w:w="803" w:type="dxa"/>
            <w:tcBorders>
              <w:left w:val="single" w:sz="4" w:space="0" w:color="auto"/>
            </w:tcBorders>
            <w:shd w:val="clear" w:color="auto" w:fill="auto"/>
            <w:noWrap/>
            <w:vAlign w:val="bottom"/>
            <w:hideMark/>
          </w:tcPr>
          <w:p w14:paraId="401A908A"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5C6C03" w:rsidRPr="000604BD" w14:paraId="17751171" w14:textId="77777777" w:rsidTr="005C6C03">
        <w:trPr>
          <w:trHeight w:val="315"/>
          <w:jc w:val="center"/>
        </w:trPr>
        <w:tc>
          <w:tcPr>
            <w:tcW w:w="1500" w:type="dxa"/>
            <w:shd w:val="clear" w:color="auto" w:fill="auto"/>
            <w:noWrap/>
            <w:vAlign w:val="bottom"/>
            <w:hideMark/>
          </w:tcPr>
          <w:p w14:paraId="25A625A3"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260" w:type="dxa"/>
            <w:shd w:val="clear" w:color="auto" w:fill="auto"/>
            <w:noWrap/>
            <w:vAlign w:val="bottom"/>
            <w:hideMark/>
          </w:tcPr>
          <w:p w14:paraId="71FE92BD"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500" w:type="dxa"/>
            <w:shd w:val="clear" w:color="auto" w:fill="auto"/>
            <w:noWrap/>
            <w:vAlign w:val="bottom"/>
            <w:hideMark/>
          </w:tcPr>
          <w:p w14:paraId="4E504329"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991" w:type="dxa"/>
            <w:shd w:val="clear" w:color="auto" w:fill="auto"/>
            <w:noWrap/>
            <w:vAlign w:val="bottom"/>
            <w:hideMark/>
          </w:tcPr>
          <w:p w14:paraId="782D6850"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860" w:type="dxa"/>
            <w:shd w:val="clear" w:color="auto" w:fill="auto"/>
            <w:noWrap/>
            <w:vAlign w:val="bottom"/>
            <w:hideMark/>
          </w:tcPr>
          <w:p w14:paraId="0107BEE6"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686" w:type="dxa"/>
            <w:gridSpan w:val="3"/>
            <w:tcBorders>
              <w:top w:val="single" w:sz="4" w:space="0" w:color="auto"/>
            </w:tcBorders>
            <w:shd w:val="clear" w:color="auto" w:fill="auto"/>
            <w:noWrap/>
            <w:vAlign w:val="bottom"/>
            <w:hideMark/>
          </w:tcPr>
          <w:p w14:paraId="44BD0B41" w14:textId="2365903C" w:rsidR="005C6C03" w:rsidRPr="000604BD" w:rsidRDefault="005C6C03" w:rsidP="00853F01">
            <w:pPr>
              <w:spacing w:after="0" w:line="240" w:lineRule="auto"/>
              <w:jc w:val="center"/>
              <w:rPr>
                <w:rFonts w:ascii="Garamond" w:eastAsia="Times New Roman" w:hAnsi="Garamond" w:cs="Times New Roman"/>
                <w:color w:val="000000"/>
                <w:sz w:val="16"/>
                <w:szCs w:val="16"/>
                <w:lang w:val="en-GB" w:eastAsia="it-IT"/>
              </w:rPr>
            </w:pPr>
          </w:p>
          <w:p w14:paraId="45F23A4D" w14:textId="0213A2CB" w:rsidR="005C6C03" w:rsidRPr="000604BD" w:rsidRDefault="00105B27"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w:t>
            </w:r>
            <w:r w:rsidR="005C6C03" w:rsidRPr="000604BD">
              <w:rPr>
                <w:rFonts w:ascii="Garamond" w:eastAsia="Times New Roman" w:hAnsi="Garamond" w:cs="Times New Roman"/>
                <w:color w:val="000000"/>
                <w:sz w:val="16"/>
                <w:szCs w:val="16"/>
                <w:lang w:val="en-GB" w:eastAsia="it-IT"/>
              </w:rPr>
              <w:t>ectors</w:t>
            </w:r>
          </w:p>
        </w:tc>
        <w:tc>
          <w:tcPr>
            <w:tcW w:w="803" w:type="dxa"/>
            <w:shd w:val="clear" w:color="auto" w:fill="auto"/>
            <w:noWrap/>
            <w:vAlign w:val="bottom"/>
            <w:hideMark/>
          </w:tcPr>
          <w:p w14:paraId="78B373F9"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5C6C03" w:rsidRPr="000604BD" w14:paraId="7E23D932" w14:textId="77777777" w:rsidTr="005C6C03">
        <w:trPr>
          <w:trHeight w:val="315"/>
          <w:jc w:val="center"/>
        </w:trPr>
        <w:tc>
          <w:tcPr>
            <w:tcW w:w="1500" w:type="dxa"/>
            <w:shd w:val="clear" w:color="auto" w:fill="auto"/>
            <w:noWrap/>
            <w:vAlign w:val="bottom"/>
          </w:tcPr>
          <w:p w14:paraId="265333A4"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p>
        </w:tc>
        <w:tc>
          <w:tcPr>
            <w:tcW w:w="260" w:type="dxa"/>
            <w:shd w:val="clear" w:color="auto" w:fill="auto"/>
            <w:noWrap/>
            <w:vAlign w:val="bottom"/>
          </w:tcPr>
          <w:p w14:paraId="60F0E14F"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p>
        </w:tc>
        <w:tc>
          <w:tcPr>
            <w:tcW w:w="500" w:type="dxa"/>
            <w:shd w:val="clear" w:color="auto" w:fill="auto"/>
            <w:noWrap/>
            <w:vAlign w:val="bottom"/>
          </w:tcPr>
          <w:p w14:paraId="14007F86"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p>
        </w:tc>
        <w:tc>
          <w:tcPr>
            <w:tcW w:w="991" w:type="dxa"/>
            <w:shd w:val="clear" w:color="auto" w:fill="auto"/>
            <w:noWrap/>
            <w:vAlign w:val="bottom"/>
          </w:tcPr>
          <w:p w14:paraId="7228F9C4"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p>
        </w:tc>
        <w:tc>
          <w:tcPr>
            <w:tcW w:w="860" w:type="dxa"/>
            <w:shd w:val="clear" w:color="auto" w:fill="auto"/>
            <w:noWrap/>
            <w:vAlign w:val="bottom"/>
          </w:tcPr>
          <w:p w14:paraId="2902B5FC"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p>
        </w:tc>
        <w:tc>
          <w:tcPr>
            <w:tcW w:w="1762" w:type="dxa"/>
            <w:tcBorders>
              <w:bottom w:val="single" w:sz="4" w:space="0" w:color="auto"/>
            </w:tcBorders>
            <w:shd w:val="clear" w:color="auto" w:fill="auto"/>
            <w:noWrap/>
            <w:vAlign w:val="bottom"/>
          </w:tcPr>
          <w:p w14:paraId="5D644B49" w14:textId="77777777" w:rsidR="005C6C03" w:rsidRPr="000604BD" w:rsidRDefault="005C6C03"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1924" w:type="dxa"/>
            <w:gridSpan w:val="2"/>
            <w:tcBorders>
              <w:bottom w:val="single" w:sz="4" w:space="0" w:color="auto"/>
            </w:tcBorders>
            <w:shd w:val="clear" w:color="auto" w:fill="auto"/>
            <w:vAlign w:val="bottom"/>
          </w:tcPr>
          <w:p w14:paraId="680C6008" w14:textId="6BA920E2" w:rsidR="005C6C03" w:rsidRPr="000604BD" w:rsidRDefault="005C6C03"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&gt;1</w:t>
            </w:r>
          </w:p>
        </w:tc>
        <w:tc>
          <w:tcPr>
            <w:tcW w:w="803" w:type="dxa"/>
            <w:shd w:val="clear" w:color="auto" w:fill="auto"/>
            <w:noWrap/>
            <w:vAlign w:val="bottom"/>
          </w:tcPr>
          <w:p w14:paraId="3DCD0ACB" w14:textId="77777777" w:rsidR="005C6C03" w:rsidRPr="000604BD" w:rsidRDefault="005C6C03" w:rsidP="00853F01">
            <w:pPr>
              <w:spacing w:after="0" w:line="240" w:lineRule="auto"/>
              <w:rPr>
                <w:rFonts w:ascii="Garamond" w:eastAsia="Times New Roman" w:hAnsi="Garamond" w:cs="Times New Roman"/>
                <w:color w:val="000000"/>
                <w:sz w:val="16"/>
                <w:szCs w:val="16"/>
                <w:lang w:val="en-GB" w:eastAsia="it-IT"/>
              </w:rPr>
            </w:pPr>
          </w:p>
        </w:tc>
      </w:tr>
      <w:tr w:rsidR="00BB1AF1" w:rsidRPr="000604BD" w14:paraId="3134EB7F" w14:textId="77777777" w:rsidTr="005C6C03">
        <w:trPr>
          <w:trHeight w:val="315"/>
          <w:jc w:val="center"/>
        </w:trPr>
        <w:tc>
          <w:tcPr>
            <w:tcW w:w="1500" w:type="dxa"/>
            <w:shd w:val="clear" w:color="auto" w:fill="auto"/>
            <w:noWrap/>
            <w:vAlign w:val="center"/>
            <w:hideMark/>
          </w:tcPr>
          <w:p w14:paraId="012AEACE" w14:textId="61CDFE9B" w:rsidR="00BB1AF1" w:rsidRPr="000604BD" w:rsidRDefault="00BB1AF1" w:rsidP="00853F01">
            <w:pPr>
              <w:pStyle w:val="ListParagraph"/>
              <w:numPr>
                <w:ilvl w:val="0"/>
                <w:numId w:val="8"/>
              </w:num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INDIA</w:t>
            </w:r>
          </w:p>
        </w:tc>
        <w:tc>
          <w:tcPr>
            <w:tcW w:w="260" w:type="dxa"/>
            <w:shd w:val="clear" w:color="auto" w:fill="auto"/>
            <w:noWrap/>
            <w:vAlign w:val="bottom"/>
            <w:hideMark/>
          </w:tcPr>
          <w:p w14:paraId="667E90A3"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p>
        </w:tc>
        <w:tc>
          <w:tcPr>
            <w:tcW w:w="500" w:type="dxa"/>
            <w:shd w:val="clear" w:color="auto" w:fill="auto"/>
            <w:noWrap/>
            <w:vAlign w:val="bottom"/>
            <w:hideMark/>
          </w:tcPr>
          <w:p w14:paraId="207FB913" w14:textId="77777777" w:rsidR="00BB1AF1" w:rsidRPr="000604BD" w:rsidRDefault="00BB1AF1" w:rsidP="00853F01">
            <w:pPr>
              <w:spacing w:after="0" w:line="240" w:lineRule="auto"/>
              <w:rPr>
                <w:rFonts w:ascii="Garamond" w:eastAsia="Times New Roman" w:hAnsi="Garamond" w:cs="Times New Roman"/>
                <w:sz w:val="16"/>
                <w:szCs w:val="16"/>
                <w:lang w:val="en-GB" w:eastAsia="it-IT"/>
              </w:rPr>
            </w:pPr>
          </w:p>
        </w:tc>
        <w:tc>
          <w:tcPr>
            <w:tcW w:w="991" w:type="dxa"/>
            <w:vMerge w:val="restart"/>
            <w:shd w:val="clear" w:color="auto" w:fill="auto"/>
            <w:noWrap/>
            <w:vAlign w:val="center"/>
            <w:hideMark/>
          </w:tcPr>
          <w:p w14:paraId="5EEBD682"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countries</w:t>
            </w:r>
          </w:p>
        </w:tc>
        <w:tc>
          <w:tcPr>
            <w:tcW w:w="860" w:type="dxa"/>
            <w:tcBorders>
              <w:right w:val="single" w:sz="4" w:space="0" w:color="auto"/>
            </w:tcBorders>
            <w:shd w:val="clear" w:color="auto" w:fill="auto"/>
            <w:noWrap/>
            <w:vAlign w:val="bottom"/>
            <w:hideMark/>
          </w:tcPr>
          <w:p w14:paraId="18911371"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&gt;1</w:t>
            </w:r>
          </w:p>
        </w:tc>
        <w:tc>
          <w:tcPr>
            <w:tcW w:w="1849" w:type="dxa"/>
            <w:gridSpan w:val="2"/>
            <w:tcBorders>
              <w:top w:val="single" w:sz="4" w:space="0" w:color="auto"/>
              <w:left w:val="single" w:sz="4" w:space="0" w:color="auto"/>
            </w:tcBorders>
            <w:shd w:val="clear" w:color="auto" w:fill="auto"/>
            <w:noWrap/>
            <w:vAlign w:val="bottom"/>
            <w:hideMark/>
          </w:tcPr>
          <w:p w14:paraId="10A3A434" w14:textId="070D5169"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59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(13%)</w:t>
            </w:r>
            <w:r w:rsidR="005C6C03" w:rsidRPr="000604BD">
              <w:rPr>
                <w:rFonts w:ascii="Garamond" w:eastAsia="Times New Roman" w:hAnsi="Garamond" w:cs="Times New Roman"/>
                <w:color w:val="000000"/>
                <w:sz w:val="16"/>
                <w:szCs w:val="16"/>
                <w:lang w:val="en-GB" w:eastAsia="it-IT"/>
              </w:rPr>
              <w:t xml:space="preserve"> – 205 FDI</w:t>
            </w:r>
          </w:p>
        </w:tc>
        <w:tc>
          <w:tcPr>
            <w:tcW w:w="1837" w:type="dxa"/>
            <w:tcBorders>
              <w:top w:val="single" w:sz="4" w:space="0" w:color="auto"/>
              <w:right w:val="single" w:sz="4" w:space="0" w:color="auto"/>
            </w:tcBorders>
            <w:shd w:val="clear" w:color="auto" w:fill="auto"/>
            <w:noWrap/>
            <w:vAlign w:val="bottom"/>
            <w:hideMark/>
          </w:tcPr>
          <w:p w14:paraId="70DF23AC" w14:textId="107CF32D"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49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(11%)</w:t>
            </w:r>
            <w:r w:rsidR="005C6C03" w:rsidRPr="000604BD">
              <w:rPr>
                <w:rFonts w:ascii="Garamond" w:eastAsia="Times New Roman" w:hAnsi="Garamond" w:cs="Times New Roman"/>
                <w:color w:val="000000"/>
                <w:sz w:val="16"/>
                <w:szCs w:val="16"/>
                <w:lang w:val="en-GB" w:eastAsia="it-IT"/>
              </w:rPr>
              <w:t xml:space="preserve"> – 335 FDI</w:t>
            </w:r>
          </w:p>
        </w:tc>
        <w:tc>
          <w:tcPr>
            <w:tcW w:w="803" w:type="dxa"/>
            <w:tcBorders>
              <w:left w:val="single" w:sz="4" w:space="0" w:color="auto"/>
            </w:tcBorders>
            <w:shd w:val="clear" w:color="auto" w:fill="auto"/>
            <w:noWrap/>
            <w:vAlign w:val="bottom"/>
            <w:hideMark/>
          </w:tcPr>
          <w:p w14:paraId="3B6873F2"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BB1AF1" w:rsidRPr="000604BD" w14:paraId="161581B4" w14:textId="77777777" w:rsidTr="005C6C03">
        <w:trPr>
          <w:trHeight w:val="315"/>
          <w:jc w:val="center"/>
        </w:trPr>
        <w:tc>
          <w:tcPr>
            <w:tcW w:w="1500" w:type="dxa"/>
            <w:shd w:val="clear" w:color="auto" w:fill="auto"/>
            <w:noWrap/>
            <w:vAlign w:val="bottom"/>
            <w:hideMark/>
          </w:tcPr>
          <w:p w14:paraId="563B4625"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260" w:type="dxa"/>
            <w:shd w:val="clear" w:color="auto" w:fill="auto"/>
            <w:noWrap/>
            <w:vAlign w:val="bottom"/>
            <w:hideMark/>
          </w:tcPr>
          <w:p w14:paraId="3AFEDF92"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500" w:type="dxa"/>
            <w:shd w:val="clear" w:color="auto" w:fill="auto"/>
            <w:noWrap/>
            <w:vAlign w:val="bottom"/>
            <w:hideMark/>
          </w:tcPr>
          <w:p w14:paraId="5ED3AD9E" w14:textId="77777777" w:rsidR="00BB1AF1" w:rsidRPr="000604BD" w:rsidRDefault="00BB1AF1" w:rsidP="00853F01">
            <w:pPr>
              <w:spacing w:after="0" w:line="240" w:lineRule="auto"/>
              <w:rPr>
                <w:rFonts w:ascii="Garamond" w:eastAsia="Times New Roman" w:hAnsi="Garamond" w:cs="Times New Roman"/>
                <w:sz w:val="16"/>
                <w:szCs w:val="16"/>
                <w:lang w:val="en-GB" w:eastAsia="it-IT"/>
              </w:rPr>
            </w:pPr>
          </w:p>
        </w:tc>
        <w:tc>
          <w:tcPr>
            <w:tcW w:w="991" w:type="dxa"/>
            <w:vMerge/>
            <w:vAlign w:val="center"/>
            <w:hideMark/>
          </w:tcPr>
          <w:p w14:paraId="79B86E78"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860" w:type="dxa"/>
            <w:tcBorders>
              <w:right w:val="single" w:sz="4" w:space="0" w:color="auto"/>
            </w:tcBorders>
            <w:shd w:val="clear" w:color="auto" w:fill="auto"/>
            <w:noWrap/>
            <w:vAlign w:val="bottom"/>
            <w:hideMark/>
          </w:tcPr>
          <w:p w14:paraId="3372FD43" w14:textId="7777777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1849" w:type="dxa"/>
            <w:gridSpan w:val="2"/>
            <w:tcBorders>
              <w:left w:val="single" w:sz="4" w:space="0" w:color="auto"/>
              <w:bottom w:val="single" w:sz="4" w:space="0" w:color="auto"/>
            </w:tcBorders>
            <w:shd w:val="clear" w:color="auto" w:fill="auto"/>
            <w:noWrap/>
            <w:vAlign w:val="bottom"/>
            <w:hideMark/>
          </w:tcPr>
          <w:p w14:paraId="5D6ABCFE" w14:textId="49C09498"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326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(73%)</w:t>
            </w:r>
            <w:r w:rsidR="005C6C03" w:rsidRPr="000604BD">
              <w:rPr>
                <w:rFonts w:ascii="Garamond" w:eastAsia="Times New Roman" w:hAnsi="Garamond" w:cs="Times New Roman"/>
                <w:color w:val="000000"/>
                <w:sz w:val="16"/>
                <w:szCs w:val="16"/>
                <w:lang w:val="en-GB" w:eastAsia="it-IT"/>
              </w:rPr>
              <w:t xml:space="preserve"> – 374 FDI</w:t>
            </w:r>
          </w:p>
        </w:tc>
        <w:tc>
          <w:tcPr>
            <w:tcW w:w="1837" w:type="dxa"/>
            <w:tcBorders>
              <w:bottom w:val="single" w:sz="4" w:space="0" w:color="auto"/>
              <w:right w:val="single" w:sz="4" w:space="0" w:color="auto"/>
            </w:tcBorders>
            <w:shd w:val="clear" w:color="auto" w:fill="auto"/>
            <w:noWrap/>
            <w:vAlign w:val="bottom"/>
            <w:hideMark/>
          </w:tcPr>
          <w:p w14:paraId="62E14B51" w14:textId="5A1FCDB7" w:rsidR="00BB1AF1" w:rsidRPr="000604BD" w:rsidRDefault="00BB1AF1" w:rsidP="00853F01">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15 </w:t>
            </w:r>
            <w:r w:rsidR="005C6C03" w:rsidRPr="000604BD">
              <w:rPr>
                <w:rFonts w:ascii="Garamond" w:eastAsia="Times New Roman" w:hAnsi="Garamond" w:cs="Times New Roman"/>
                <w:color w:val="000000"/>
                <w:sz w:val="16"/>
                <w:szCs w:val="16"/>
                <w:lang w:val="en-GB" w:eastAsia="it-IT"/>
              </w:rPr>
              <w:t xml:space="preserve">BGs </w:t>
            </w:r>
            <w:r w:rsidRPr="000604BD">
              <w:rPr>
                <w:rFonts w:ascii="Garamond" w:eastAsia="Times New Roman" w:hAnsi="Garamond" w:cs="Times New Roman"/>
                <w:color w:val="000000"/>
                <w:sz w:val="16"/>
                <w:szCs w:val="16"/>
                <w:lang w:val="en-GB" w:eastAsia="it-IT"/>
              </w:rPr>
              <w:t>(3%)</w:t>
            </w:r>
            <w:r w:rsidR="005C6C03" w:rsidRPr="000604BD">
              <w:rPr>
                <w:rFonts w:ascii="Garamond" w:eastAsia="Times New Roman" w:hAnsi="Garamond" w:cs="Times New Roman"/>
                <w:color w:val="000000"/>
                <w:sz w:val="16"/>
                <w:szCs w:val="16"/>
                <w:lang w:val="en-GB" w:eastAsia="it-IT"/>
              </w:rPr>
              <w:t xml:space="preserve"> – 35 FDI</w:t>
            </w:r>
          </w:p>
        </w:tc>
        <w:tc>
          <w:tcPr>
            <w:tcW w:w="803" w:type="dxa"/>
            <w:tcBorders>
              <w:left w:val="single" w:sz="4" w:space="0" w:color="auto"/>
            </w:tcBorders>
            <w:shd w:val="clear" w:color="auto" w:fill="auto"/>
            <w:noWrap/>
            <w:vAlign w:val="bottom"/>
            <w:hideMark/>
          </w:tcPr>
          <w:p w14:paraId="7813439B"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BB1AF1" w:rsidRPr="000604BD" w14:paraId="4CEC29C0" w14:textId="77777777" w:rsidTr="005C6C03">
        <w:trPr>
          <w:trHeight w:val="330"/>
          <w:jc w:val="center"/>
        </w:trPr>
        <w:tc>
          <w:tcPr>
            <w:tcW w:w="1500" w:type="dxa"/>
            <w:shd w:val="clear" w:color="auto" w:fill="auto"/>
            <w:noWrap/>
            <w:vAlign w:val="bottom"/>
          </w:tcPr>
          <w:p w14:paraId="1207C9B8"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260" w:type="dxa"/>
            <w:shd w:val="clear" w:color="auto" w:fill="auto"/>
            <w:noWrap/>
            <w:vAlign w:val="bottom"/>
          </w:tcPr>
          <w:p w14:paraId="4FD24F97"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500" w:type="dxa"/>
            <w:shd w:val="clear" w:color="auto" w:fill="auto"/>
            <w:noWrap/>
            <w:vAlign w:val="bottom"/>
          </w:tcPr>
          <w:p w14:paraId="52443317"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991" w:type="dxa"/>
            <w:shd w:val="clear" w:color="auto" w:fill="auto"/>
            <w:noWrap/>
            <w:vAlign w:val="bottom"/>
          </w:tcPr>
          <w:p w14:paraId="1D68CE07"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860" w:type="dxa"/>
            <w:shd w:val="clear" w:color="auto" w:fill="auto"/>
            <w:noWrap/>
            <w:vAlign w:val="bottom"/>
          </w:tcPr>
          <w:p w14:paraId="58B49FC2"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1849" w:type="dxa"/>
            <w:gridSpan w:val="2"/>
            <w:tcBorders>
              <w:top w:val="single" w:sz="4" w:space="0" w:color="auto"/>
            </w:tcBorders>
            <w:shd w:val="clear" w:color="auto" w:fill="auto"/>
            <w:noWrap/>
            <w:vAlign w:val="bottom"/>
          </w:tcPr>
          <w:p w14:paraId="2461BEAE"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1837" w:type="dxa"/>
            <w:tcBorders>
              <w:top w:val="single" w:sz="4" w:space="0" w:color="auto"/>
            </w:tcBorders>
            <w:shd w:val="clear" w:color="auto" w:fill="auto"/>
            <w:noWrap/>
            <w:vAlign w:val="bottom"/>
          </w:tcPr>
          <w:p w14:paraId="54DCCD96"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c>
          <w:tcPr>
            <w:tcW w:w="803" w:type="dxa"/>
            <w:shd w:val="clear" w:color="auto" w:fill="auto"/>
            <w:noWrap/>
            <w:vAlign w:val="bottom"/>
          </w:tcPr>
          <w:p w14:paraId="35C7CC0F" w14:textId="77777777" w:rsidR="00BB1AF1" w:rsidRPr="000604BD" w:rsidRDefault="00BB1AF1" w:rsidP="00853F01">
            <w:pPr>
              <w:spacing w:after="0" w:line="240" w:lineRule="auto"/>
              <w:rPr>
                <w:rFonts w:ascii="Garamond" w:eastAsia="Times New Roman" w:hAnsi="Garamond" w:cs="Times New Roman"/>
                <w:color w:val="000000"/>
                <w:sz w:val="16"/>
                <w:szCs w:val="16"/>
                <w:lang w:val="en-GB" w:eastAsia="it-IT"/>
              </w:rPr>
            </w:pPr>
          </w:p>
        </w:tc>
      </w:tr>
    </w:tbl>
    <w:p w14:paraId="03BD6D0D" w14:textId="05112FA9" w:rsidR="00BB1AF1" w:rsidRPr="000604BD" w:rsidRDefault="004B5E41" w:rsidP="004B5E41">
      <w:pPr>
        <w:autoSpaceDE w:val="0"/>
        <w:autoSpaceDN w:val="0"/>
        <w:adjustRightInd w:val="0"/>
        <w:spacing w:after="0" w:line="360" w:lineRule="auto"/>
        <w:ind w:right="-7"/>
        <w:jc w:val="center"/>
        <w:rPr>
          <w:rFonts w:ascii="Garamond" w:hAnsi="Garamond" w:cs="Times New Roman"/>
          <w:sz w:val="16"/>
          <w:szCs w:val="16"/>
          <w:lang w:val="en-GB"/>
        </w:rPr>
      </w:pPr>
      <w:r w:rsidRPr="000604BD">
        <w:rPr>
          <w:rFonts w:ascii="Garamond" w:hAnsi="Garamond" w:cs="Times New Roman"/>
          <w:sz w:val="16"/>
          <w:szCs w:val="16"/>
          <w:lang w:val="en-GB"/>
        </w:rPr>
        <w:t>Source: EMENDATA</w:t>
      </w:r>
    </w:p>
    <w:p w14:paraId="1378318A" w14:textId="77777777" w:rsidR="004B5E41" w:rsidRPr="000604BD" w:rsidRDefault="004B5E41" w:rsidP="004B5E41">
      <w:pPr>
        <w:autoSpaceDE w:val="0"/>
        <w:autoSpaceDN w:val="0"/>
        <w:adjustRightInd w:val="0"/>
        <w:spacing w:after="0" w:line="360" w:lineRule="auto"/>
        <w:ind w:right="-7"/>
        <w:jc w:val="center"/>
        <w:rPr>
          <w:rFonts w:cs="Times New Roman"/>
          <w:sz w:val="20"/>
          <w:szCs w:val="20"/>
          <w:lang w:val="en-GB"/>
        </w:rPr>
      </w:pPr>
    </w:p>
    <w:p w14:paraId="70178B51" w14:textId="77777777" w:rsidR="008F4C20" w:rsidRPr="000604BD" w:rsidRDefault="008F4C20" w:rsidP="008F4C20">
      <w:pPr>
        <w:spacing w:after="0" w:line="360" w:lineRule="auto"/>
        <w:jc w:val="both"/>
        <w:rPr>
          <w:rFonts w:ascii="Garamond" w:hAnsi="Garamond" w:cs="Times New Roman"/>
          <w:lang w:val="en-GB"/>
        </w:rPr>
      </w:pPr>
      <w:r w:rsidRPr="000604BD">
        <w:rPr>
          <w:rFonts w:ascii="Garamond" w:hAnsi="Garamond" w:cs="Times New Roman"/>
          <w:lang w:val="en-GB"/>
        </w:rPr>
        <w:t>A further striking similarity between the international expansion strategies of Chinese and Indian BGs in Europe is the distribution by group type.  The second most important type of BG in terms of num</w:t>
      </w:r>
      <w:r>
        <w:rPr>
          <w:rFonts w:ascii="Garamond" w:hAnsi="Garamond" w:cs="Times New Roman"/>
          <w:lang w:val="en-GB"/>
        </w:rPr>
        <w:t>b</w:t>
      </w:r>
      <w:r w:rsidRPr="000604BD">
        <w:rPr>
          <w:rFonts w:ascii="Garamond" w:hAnsi="Garamond" w:cs="Times New Roman"/>
          <w:lang w:val="en-GB"/>
        </w:rPr>
        <w:t>er is the “multiple country</w:t>
      </w:r>
      <w:r>
        <w:rPr>
          <w:rFonts w:ascii="Garamond" w:hAnsi="Garamond" w:cs="Times New Roman"/>
          <w:lang w:val="en-GB"/>
        </w:rPr>
        <w:t>/single sector</w:t>
      </w:r>
      <w:r w:rsidRPr="000604BD">
        <w:rPr>
          <w:rFonts w:ascii="Garamond" w:hAnsi="Garamond" w:cs="Times New Roman"/>
          <w:lang w:val="en-GB"/>
        </w:rPr>
        <w:t xml:space="preserve">”, i.e. BG </w:t>
      </w:r>
      <w:r>
        <w:rPr>
          <w:rFonts w:ascii="Garamond" w:hAnsi="Garamond" w:cs="Times New Roman"/>
          <w:lang w:val="en-GB"/>
        </w:rPr>
        <w:t>that follow a geographical diversification strategy</w:t>
      </w:r>
      <w:r w:rsidRPr="00105B27">
        <w:rPr>
          <w:rFonts w:ascii="Garamond" w:hAnsi="Garamond" w:cs="Times New Roman"/>
          <w:lang w:val="en-GB"/>
        </w:rPr>
        <w:t xml:space="preserve"> </w:t>
      </w:r>
      <w:r>
        <w:rPr>
          <w:rFonts w:ascii="Garamond" w:hAnsi="Garamond" w:cs="Times New Roman"/>
          <w:lang w:val="en-GB"/>
        </w:rPr>
        <w:t>but maintain their industry specialisation</w:t>
      </w:r>
      <w:r w:rsidRPr="000604BD">
        <w:rPr>
          <w:rFonts w:ascii="Garamond" w:hAnsi="Garamond" w:cs="Times New Roman"/>
          <w:lang w:val="en-GB"/>
        </w:rPr>
        <w:t xml:space="preserve">. The third category is opposite compared to the “timid internationalisers”, i.e. a small number “strong internationalisers” (30 Chinese BGs, or 6% of the total; 49 Indian BGs, or 11% of the total) </w:t>
      </w:r>
      <w:r>
        <w:rPr>
          <w:rFonts w:ascii="Garamond" w:hAnsi="Garamond" w:cs="Times New Roman"/>
          <w:lang w:val="en-GB"/>
        </w:rPr>
        <w:t xml:space="preserve">that follow complex internationalisation strategies (UNCTAD, ?) </w:t>
      </w:r>
      <w:r w:rsidRPr="000604BD">
        <w:rPr>
          <w:rFonts w:ascii="Garamond" w:hAnsi="Garamond" w:cs="Times New Roman"/>
          <w:lang w:val="en-GB"/>
        </w:rPr>
        <w:t xml:space="preserve">with </w:t>
      </w:r>
      <w:r>
        <w:rPr>
          <w:rFonts w:ascii="Garamond" w:hAnsi="Garamond" w:cs="Times New Roman"/>
          <w:lang w:val="en-GB"/>
        </w:rPr>
        <w:t>s</w:t>
      </w:r>
      <w:r w:rsidRPr="000604BD">
        <w:rPr>
          <w:rFonts w:ascii="Garamond" w:hAnsi="Garamond" w:cs="Times New Roman"/>
          <w:lang w:val="en-GB"/>
        </w:rPr>
        <w:t>e</w:t>
      </w:r>
      <w:r>
        <w:rPr>
          <w:rFonts w:ascii="Garamond" w:hAnsi="Garamond" w:cs="Times New Roman"/>
          <w:lang w:val="en-GB"/>
        </w:rPr>
        <w:t>veral</w:t>
      </w:r>
      <w:r w:rsidRPr="000604BD">
        <w:rPr>
          <w:rFonts w:ascii="Garamond" w:hAnsi="Garamond" w:cs="Times New Roman"/>
          <w:lang w:val="en-GB"/>
        </w:rPr>
        <w:t xml:space="preserve"> affiliates </w:t>
      </w:r>
      <w:r>
        <w:rPr>
          <w:rFonts w:ascii="Garamond" w:hAnsi="Garamond" w:cs="Times New Roman"/>
          <w:lang w:val="en-GB"/>
        </w:rPr>
        <w:t xml:space="preserve">in different countries and </w:t>
      </w:r>
      <w:r w:rsidRPr="000604BD">
        <w:rPr>
          <w:rFonts w:ascii="Garamond" w:hAnsi="Garamond" w:cs="Times New Roman"/>
          <w:lang w:val="en-GB"/>
        </w:rPr>
        <w:t>in multiple sectors. The average number of affiliates for this group is 7.4 and 6.8 deals for Chinese and Indian BGs respectively. Finally, the remaining type of BGs diversify just along the sector dimension</w:t>
      </w:r>
      <w:r>
        <w:rPr>
          <w:rFonts w:ascii="Garamond" w:hAnsi="Garamond" w:cs="Times New Roman"/>
          <w:lang w:val="en-GB"/>
        </w:rPr>
        <w:t xml:space="preserve"> (“multisector/single country”)</w:t>
      </w:r>
      <w:r w:rsidRPr="000604BD">
        <w:rPr>
          <w:rFonts w:ascii="Garamond" w:hAnsi="Garamond" w:cs="Times New Roman"/>
          <w:lang w:val="en-GB"/>
        </w:rPr>
        <w:t xml:space="preserve">. </w:t>
      </w:r>
    </w:p>
    <w:p w14:paraId="1623A256" w14:textId="77777777" w:rsidR="008F4C20" w:rsidRDefault="008F4C20" w:rsidP="006F03B9">
      <w:pPr>
        <w:spacing w:after="0" w:line="360" w:lineRule="auto"/>
        <w:jc w:val="both"/>
        <w:rPr>
          <w:rFonts w:ascii="Garamond" w:eastAsia="Times New Roman" w:hAnsi="Garamond" w:cs="Times New Roman"/>
          <w:color w:val="000000"/>
          <w:lang w:val="en-GB" w:eastAsia="it-IT"/>
        </w:rPr>
      </w:pPr>
    </w:p>
    <w:p w14:paraId="0D33C5F6" w14:textId="296493B7" w:rsidR="00CD50E6" w:rsidRDefault="006F03B9" w:rsidP="006F03B9">
      <w:pPr>
        <w:spacing w:after="0" w:line="360" w:lineRule="auto"/>
        <w:jc w:val="both"/>
        <w:rPr>
          <w:rFonts w:ascii="Garamond" w:eastAsia="Times New Roman" w:hAnsi="Garamond" w:cs="Times New Roman"/>
          <w:color w:val="000000"/>
          <w:lang w:val="en-GB" w:eastAsia="it-IT"/>
        </w:rPr>
      </w:pPr>
      <w:r w:rsidRPr="000604BD">
        <w:rPr>
          <w:rFonts w:ascii="Garamond" w:eastAsia="Times New Roman" w:hAnsi="Garamond" w:cs="Times New Roman"/>
          <w:color w:val="000000"/>
          <w:lang w:val="en-GB" w:eastAsia="it-IT"/>
        </w:rPr>
        <w:t>In order to fully describe the complexity of internationalisation strategies of Chinese and Indian firms in Europe, we add the third data dimension we can get from EMENDATA, i.e. the distribution of FDI by type</w:t>
      </w:r>
      <w:r w:rsidR="000B1632">
        <w:rPr>
          <w:rFonts w:ascii="Garamond" w:eastAsia="Times New Roman" w:hAnsi="Garamond" w:cs="Times New Roman"/>
          <w:color w:val="000000"/>
          <w:lang w:val="en-GB" w:eastAsia="it-IT"/>
        </w:rPr>
        <w:t xml:space="preserve"> for</w:t>
      </w:r>
      <w:r w:rsidR="00C31E26">
        <w:rPr>
          <w:rFonts w:ascii="Garamond" w:eastAsia="Times New Roman" w:hAnsi="Garamond" w:cs="Times New Roman"/>
          <w:color w:val="000000"/>
          <w:lang w:val="en-GB" w:eastAsia="it-IT"/>
        </w:rPr>
        <w:t xml:space="preserve"> </w:t>
      </w:r>
      <w:r w:rsidR="002D3274">
        <w:rPr>
          <w:rFonts w:ascii="Garamond" w:eastAsia="Times New Roman" w:hAnsi="Garamond" w:cs="Times New Roman"/>
          <w:color w:val="000000"/>
          <w:lang w:val="en-GB" w:eastAsia="it-IT"/>
        </w:rPr>
        <w:t xml:space="preserve">the </w:t>
      </w:r>
      <w:r w:rsidR="00C31E26">
        <w:rPr>
          <w:rFonts w:ascii="Garamond" w:eastAsia="Times New Roman" w:hAnsi="Garamond" w:cs="Times New Roman"/>
          <w:color w:val="000000"/>
          <w:lang w:val="en-GB" w:eastAsia="it-IT"/>
        </w:rPr>
        <w:t>different types of BGs</w:t>
      </w:r>
      <w:r w:rsidR="009C01EC">
        <w:rPr>
          <w:rFonts w:ascii="Garamond" w:eastAsia="Times New Roman" w:hAnsi="Garamond" w:cs="Times New Roman"/>
          <w:color w:val="000000"/>
          <w:lang w:val="en-GB" w:eastAsia="it-IT"/>
        </w:rPr>
        <w:t xml:space="preserve"> (Table 2</w:t>
      </w:r>
      <w:r w:rsidR="00CD50E6">
        <w:rPr>
          <w:rFonts w:ascii="Garamond" w:eastAsia="Times New Roman" w:hAnsi="Garamond" w:cs="Times New Roman"/>
          <w:color w:val="000000"/>
          <w:lang w:val="en-GB" w:eastAsia="it-IT"/>
        </w:rPr>
        <w:t>)</w:t>
      </w:r>
      <w:r w:rsidRPr="000604BD">
        <w:rPr>
          <w:rFonts w:ascii="Garamond" w:eastAsia="Times New Roman" w:hAnsi="Garamond" w:cs="Times New Roman"/>
          <w:color w:val="000000"/>
          <w:lang w:val="en-GB" w:eastAsia="it-IT"/>
        </w:rPr>
        <w:t>.</w:t>
      </w:r>
      <w:r w:rsidR="002D3274">
        <w:rPr>
          <w:rFonts w:ascii="Garamond" w:eastAsia="Times New Roman" w:hAnsi="Garamond" w:cs="Times New Roman"/>
          <w:color w:val="000000"/>
          <w:lang w:val="en-GB" w:eastAsia="it-IT"/>
        </w:rPr>
        <w:t xml:space="preserve"> Overall, greenfield investment tend to be the most favoured form of FDI, regardless of the type of group or home country</w:t>
      </w:r>
      <w:r w:rsidR="00E95535">
        <w:rPr>
          <w:rFonts w:ascii="Garamond" w:eastAsia="Times New Roman" w:hAnsi="Garamond" w:cs="Times New Roman"/>
          <w:color w:val="000000"/>
          <w:lang w:val="en-GB" w:eastAsia="it-IT"/>
        </w:rPr>
        <w:t xml:space="preserve"> (with the only exception of one type of Indian BG, the “multisector/single country”)</w:t>
      </w:r>
      <w:r w:rsidR="002D3274">
        <w:rPr>
          <w:rFonts w:ascii="Garamond" w:eastAsia="Times New Roman" w:hAnsi="Garamond" w:cs="Times New Roman"/>
          <w:color w:val="000000"/>
          <w:lang w:val="en-GB" w:eastAsia="it-IT"/>
        </w:rPr>
        <w:t xml:space="preserve">. </w:t>
      </w:r>
      <w:r w:rsidR="00E95535">
        <w:rPr>
          <w:rFonts w:ascii="Garamond" w:eastAsia="Times New Roman" w:hAnsi="Garamond" w:cs="Times New Roman"/>
          <w:color w:val="000000"/>
          <w:lang w:val="en-GB" w:eastAsia="it-IT"/>
        </w:rPr>
        <w:t>However, t</w:t>
      </w:r>
      <w:r w:rsidR="002D3274">
        <w:rPr>
          <w:rFonts w:ascii="Garamond" w:eastAsia="Times New Roman" w:hAnsi="Garamond" w:cs="Times New Roman"/>
          <w:color w:val="000000"/>
          <w:lang w:val="en-GB" w:eastAsia="it-IT"/>
        </w:rPr>
        <w:t xml:space="preserve">he </w:t>
      </w:r>
      <w:r w:rsidR="00E95535">
        <w:rPr>
          <w:rFonts w:ascii="Garamond" w:eastAsia="Times New Roman" w:hAnsi="Garamond" w:cs="Times New Roman"/>
          <w:color w:val="000000"/>
          <w:lang w:val="en-GB" w:eastAsia="it-IT"/>
        </w:rPr>
        <w:t xml:space="preserve">relative importance of different </w:t>
      </w:r>
      <w:r w:rsidR="00EB57A1">
        <w:rPr>
          <w:rFonts w:ascii="Garamond" w:eastAsia="Times New Roman" w:hAnsi="Garamond" w:cs="Times New Roman"/>
          <w:color w:val="000000"/>
          <w:lang w:val="en-GB" w:eastAsia="it-IT"/>
        </w:rPr>
        <w:t xml:space="preserve">Chinese and Indian </w:t>
      </w:r>
      <w:r w:rsidR="002D3274">
        <w:rPr>
          <w:rFonts w:ascii="Garamond" w:eastAsia="Times New Roman" w:hAnsi="Garamond" w:cs="Times New Roman"/>
          <w:color w:val="000000"/>
          <w:lang w:val="en-GB" w:eastAsia="it-IT"/>
        </w:rPr>
        <w:t xml:space="preserve">FDI </w:t>
      </w:r>
      <w:r w:rsidR="00E95535">
        <w:rPr>
          <w:rFonts w:ascii="Garamond" w:eastAsia="Times New Roman" w:hAnsi="Garamond" w:cs="Times New Roman"/>
          <w:color w:val="000000"/>
          <w:lang w:val="en-GB" w:eastAsia="it-IT"/>
        </w:rPr>
        <w:t xml:space="preserve">types </w:t>
      </w:r>
      <w:r w:rsidR="002D3274">
        <w:rPr>
          <w:rFonts w:ascii="Garamond" w:eastAsia="Times New Roman" w:hAnsi="Garamond" w:cs="Times New Roman"/>
          <w:color w:val="000000"/>
          <w:lang w:val="en-GB" w:eastAsia="it-IT"/>
        </w:rPr>
        <w:t>in Europe varies greatly according to the type of BG. The two extreme types of BGs -- timid and strong internationalisers – both prefer greenfield to other forms</w:t>
      </w:r>
      <w:r w:rsidR="00E95535">
        <w:rPr>
          <w:rFonts w:ascii="Garamond" w:eastAsia="Times New Roman" w:hAnsi="Garamond" w:cs="Times New Roman"/>
          <w:color w:val="000000"/>
          <w:lang w:val="en-GB" w:eastAsia="it-IT"/>
        </w:rPr>
        <w:t xml:space="preserve"> and this is true for both countries but even more so for Chinese BG</w:t>
      </w:r>
      <w:r w:rsidR="00EB57A1">
        <w:rPr>
          <w:rFonts w:ascii="Garamond" w:eastAsia="Times New Roman" w:hAnsi="Garamond" w:cs="Times New Roman"/>
          <w:color w:val="000000"/>
          <w:lang w:val="en-GB" w:eastAsia="it-IT"/>
        </w:rPr>
        <w:t xml:space="preserve"> who are definitely in favour of wholly-owned subsidiaries</w:t>
      </w:r>
      <w:r w:rsidR="00E95535">
        <w:rPr>
          <w:rFonts w:ascii="Garamond" w:eastAsia="Times New Roman" w:hAnsi="Garamond" w:cs="Times New Roman"/>
          <w:color w:val="000000"/>
          <w:lang w:val="en-GB" w:eastAsia="it-IT"/>
        </w:rPr>
        <w:t>, while Indian BGs tend to cho</w:t>
      </w:r>
      <w:r w:rsidR="00EB57A1">
        <w:rPr>
          <w:rFonts w:ascii="Garamond" w:eastAsia="Times New Roman" w:hAnsi="Garamond" w:cs="Times New Roman"/>
          <w:color w:val="000000"/>
          <w:lang w:val="en-GB" w:eastAsia="it-IT"/>
        </w:rPr>
        <w:t>o</w:t>
      </w:r>
      <w:r w:rsidR="00E95535">
        <w:rPr>
          <w:rFonts w:ascii="Garamond" w:eastAsia="Times New Roman" w:hAnsi="Garamond" w:cs="Times New Roman"/>
          <w:color w:val="000000"/>
          <w:lang w:val="en-GB" w:eastAsia="it-IT"/>
        </w:rPr>
        <w:t xml:space="preserve">se a </w:t>
      </w:r>
      <w:r w:rsidR="00EB57A1">
        <w:rPr>
          <w:rFonts w:ascii="Garamond" w:eastAsia="Times New Roman" w:hAnsi="Garamond" w:cs="Times New Roman"/>
          <w:color w:val="000000"/>
          <w:lang w:val="en-GB" w:eastAsia="it-IT"/>
        </w:rPr>
        <w:t xml:space="preserve">more balanced combination of wholly-owned subsidiaries and majority controlled affiliates. </w:t>
      </w:r>
    </w:p>
    <w:tbl>
      <w:tblPr>
        <w:tblW w:w="7088" w:type="dxa"/>
        <w:tblInd w:w="709" w:type="dxa"/>
        <w:tblCellMar>
          <w:left w:w="70" w:type="dxa"/>
          <w:right w:w="70" w:type="dxa"/>
        </w:tblCellMar>
        <w:tblLook w:val="04A0" w:firstRow="1" w:lastRow="0" w:firstColumn="1" w:lastColumn="0" w:noHBand="0" w:noVBand="1"/>
      </w:tblPr>
      <w:tblGrid>
        <w:gridCol w:w="2126"/>
        <w:gridCol w:w="851"/>
        <w:gridCol w:w="651"/>
        <w:gridCol w:w="625"/>
        <w:gridCol w:w="417"/>
        <w:gridCol w:w="1284"/>
        <w:gridCol w:w="283"/>
        <w:gridCol w:w="851"/>
      </w:tblGrid>
      <w:tr w:rsidR="00B20A42" w:rsidRPr="0068747F" w14:paraId="774AD9F0" w14:textId="77777777" w:rsidTr="00B20A42">
        <w:trPr>
          <w:gridAfter w:val="7"/>
          <w:wAfter w:w="4962" w:type="dxa"/>
          <w:trHeight w:val="300"/>
        </w:trPr>
        <w:tc>
          <w:tcPr>
            <w:tcW w:w="2126" w:type="dxa"/>
            <w:tcBorders>
              <w:top w:val="nil"/>
              <w:left w:val="nil"/>
              <w:bottom w:val="nil"/>
              <w:right w:val="nil"/>
            </w:tcBorders>
            <w:shd w:val="clear" w:color="auto" w:fill="auto"/>
            <w:noWrap/>
            <w:vAlign w:val="bottom"/>
            <w:hideMark/>
          </w:tcPr>
          <w:p w14:paraId="70CC7827" w14:textId="77777777" w:rsidR="00B20A42" w:rsidRDefault="00B20A42" w:rsidP="007E272D">
            <w:pPr>
              <w:spacing w:after="0" w:line="240" w:lineRule="auto"/>
              <w:rPr>
                <w:rFonts w:ascii="Garamond" w:eastAsia="Times New Roman" w:hAnsi="Garamond" w:cs="Times New Roman"/>
                <w:b/>
                <w:color w:val="000000"/>
                <w:sz w:val="16"/>
                <w:szCs w:val="16"/>
                <w:lang w:val="en-GB" w:eastAsia="it-IT"/>
              </w:rPr>
            </w:pPr>
          </w:p>
          <w:p w14:paraId="6F2A75B0" w14:textId="77777777" w:rsidR="00FA161F" w:rsidRDefault="00FA161F" w:rsidP="007E272D">
            <w:pPr>
              <w:spacing w:after="0" w:line="240" w:lineRule="auto"/>
              <w:rPr>
                <w:rFonts w:ascii="Garamond" w:eastAsia="Times New Roman" w:hAnsi="Garamond" w:cs="Times New Roman"/>
                <w:b/>
                <w:color w:val="000000"/>
                <w:sz w:val="16"/>
                <w:szCs w:val="16"/>
                <w:lang w:val="en-GB" w:eastAsia="it-IT"/>
              </w:rPr>
            </w:pPr>
          </w:p>
          <w:p w14:paraId="4AF1D527" w14:textId="77777777" w:rsidR="00FA161F" w:rsidRDefault="00FA161F" w:rsidP="007E272D">
            <w:pPr>
              <w:spacing w:after="0" w:line="240" w:lineRule="auto"/>
              <w:rPr>
                <w:rFonts w:ascii="Garamond" w:eastAsia="Times New Roman" w:hAnsi="Garamond" w:cs="Times New Roman"/>
                <w:b/>
                <w:color w:val="000000"/>
                <w:sz w:val="16"/>
                <w:szCs w:val="16"/>
                <w:lang w:val="en-GB" w:eastAsia="it-IT"/>
              </w:rPr>
            </w:pPr>
          </w:p>
          <w:p w14:paraId="3A8B0885" w14:textId="77777777" w:rsidR="00FA161F" w:rsidRDefault="00FA161F" w:rsidP="007E272D">
            <w:pPr>
              <w:spacing w:after="0" w:line="240" w:lineRule="auto"/>
              <w:rPr>
                <w:rFonts w:ascii="Garamond" w:eastAsia="Times New Roman" w:hAnsi="Garamond" w:cs="Times New Roman"/>
                <w:b/>
                <w:color w:val="000000"/>
                <w:sz w:val="16"/>
                <w:szCs w:val="16"/>
                <w:lang w:val="en-GB" w:eastAsia="it-IT"/>
              </w:rPr>
            </w:pPr>
          </w:p>
          <w:p w14:paraId="02D29782" w14:textId="77777777" w:rsidR="00FA161F" w:rsidRDefault="00FA161F" w:rsidP="007E272D">
            <w:pPr>
              <w:spacing w:after="0" w:line="240" w:lineRule="auto"/>
              <w:rPr>
                <w:rFonts w:ascii="Garamond" w:eastAsia="Times New Roman" w:hAnsi="Garamond" w:cs="Times New Roman"/>
                <w:b/>
                <w:color w:val="000000"/>
                <w:sz w:val="16"/>
                <w:szCs w:val="16"/>
                <w:lang w:val="en-GB" w:eastAsia="it-IT"/>
              </w:rPr>
            </w:pPr>
          </w:p>
          <w:p w14:paraId="65A17C89" w14:textId="2D9F88EA" w:rsidR="00FA161F" w:rsidRPr="000604BD" w:rsidRDefault="00FA161F" w:rsidP="007E272D">
            <w:pPr>
              <w:spacing w:after="0" w:line="240" w:lineRule="auto"/>
              <w:rPr>
                <w:rFonts w:ascii="Garamond" w:eastAsia="Times New Roman" w:hAnsi="Garamond" w:cs="Times New Roman"/>
                <w:b/>
                <w:color w:val="000000"/>
                <w:sz w:val="16"/>
                <w:szCs w:val="16"/>
                <w:lang w:val="en-GB" w:eastAsia="it-IT"/>
              </w:rPr>
            </w:pPr>
          </w:p>
        </w:tc>
      </w:tr>
      <w:tr w:rsidR="007E272D" w:rsidRPr="0068747F" w14:paraId="411B0263" w14:textId="77777777" w:rsidTr="00002E4F">
        <w:trPr>
          <w:trHeight w:val="300"/>
        </w:trPr>
        <w:tc>
          <w:tcPr>
            <w:tcW w:w="2126" w:type="dxa"/>
            <w:tcBorders>
              <w:top w:val="nil"/>
              <w:left w:val="nil"/>
              <w:right w:val="nil"/>
            </w:tcBorders>
            <w:shd w:val="clear" w:color="auto" w:fill="auto"/>
            <w:noWrap/>
            <w:vAlign w:val="bottom"/>
            <w:hideMark/>
          </w:tcPr>
          <w:p w14:paraId="771357C1" w14:textId="37D374AB" w:rsidR="007E272D" w:rsidRPr="000604BD" w:rsidRDefault="007E272D" w:rsidP="007E272D">
            <w:pPr>
              <w:spacing w:after="0" w:line="240" w:lineRule="auto"/>
              <w:jc w:val="center"/>
              <w:rPr>
                <w:rFonts w:ascii="Garamond" w:eastAsia="Times New Roman" w:hAnsi="Garamond" w:cs="Times New Roman"/>
                <w:b/>
                <w:bCs/>
                <w:color w:val="000000"/>
                <w:sz w:val="16"/>
                <w:szCs w:val="16"/>
                <w:lang w:val="en-GB" w:eastAsia="it-IT"/>
              </w:rPr>
            </w:pPr>
            <w:r w:rsidRPr="000604BD">
              <w:rPr>
                <w:rFonts w:ascii="Garamond" w:eastAsia="Times New Roman" w:hAnsi="Garamond" w:cs="Times New Roman"/>
                <w:b/>
                <w:color w:val="000000"/>
                <w:sz w:val="16"/>
                <w:szCs w:val="16"/>
                <w:lang w:val="en-GB" w:eastAsia="it-IT"/>
              </w:rPr>
              <w:lastRenderedPageBreak/>
              <w:t xml:space="preserve">Table </w:t>
            </w:r>
            <w:r w:rsidR="009C01EC">
              <w:rPr>
                <w:rFonts w:ascii="Garamond" w:eastAsia="Times New Roman" w:hAnsi="Garamond" w:cs="Times New Roman"/>
                <w:b/>
                <w:color w:val="000000"/>
                <w:sz w:val="16"/>
                <w:szCs w:val="16"/>
                <w:lang w:val="en-GB" w:eastAsia="it-IT"/>
              </w:rPr>
              <w:t>2</w:t>
            </w:r>
          </w:p>
        </w:tc>
        <w:tc>
          <w:tcPr>
            <w:tcW w:w="4962" w:type="dxa"/>
            <w:gridSpan w:val="7"/>
            <w:tcBorders>
              <w:top w:val="nil"/>
              <w:left w:val="nil"/>
              <w:right w:val="nil"/>
            </w:tcBorders>
            <w:shd w:val="clear" w:color="auto" w:fill="auto"/>
            <w:noWrap/>
            <w:vAlign w:val="bottom"/>
            <w:hideMark/>
          </w:tcPr>
          <w:p w14:paraId="249AAC07" w14:textId="2977DDC8" w:rsidR="007E272D" w:rsidRPr="000604BD" w:rsidRDefault="007E272D" w:rsidP="00476F0A">
            <w:pPr>
              <w:spacing w:after="0" w:line="240" w:lineRule="auto"/>
              <w:rPr>
                <w:rFonts w:ascii="Garamond" w:eastAsia="Times New Roman" w:hAnsi="Garamond" w:cs="Times New Roman"/>
                <w:sz w:val="16"/>
                <w:szCs w:val="16"/>
                <w:lang w:val="en-GB" w:eastAsia="it-IT"/>
              </w:rPr>
            </w:pPr>
            <w:r w:rsidRPr="000604BD">
              <w:rPr>
                <w:rFonts w:ascii="Garamond" w:eastAsia="Times New Roman" w:hAnsi="Garamond" w:cs="Times New Roman"/>
                <w:b/>
                <w:color w:val="000000"/>
                <w:sz w:val="16"/>
                <w:szCs w:val="16"/>
                <w:lang w:val="en-GB" w:eastAsia="it-IT"/>
              </w:rPr>
              <w:t>Distribution of FDI in Europe by entry mode for different types of BGs</w:t>
            </w:r>
          </w:p>
        </w:tc>
      </w:tr>
      <w:tr w:rsidR="007E272D" w:rsidRPr="0068747F" w14:paraId="135A168F" w14:textId="77777777" w:rsidTr="007E272D">
        <w:trPr>
          <w:trHeight w:val="300"/>
        </w:trPr>
        <w:tc>
          <w:tcPr>
            <w:tcW w:w="2126" w:type="dxa"/>
            <w:tcBorders>
              <w:left w:val="nil"/>
              <w:bottom w:val="single" w:sz="4" w:space="0" w:color="auto"/>
              <w:right w:val="nil"/>
            </w:tcBorders>
            <w:shd w:val="clear" w:color="auto" w:fill="auto"/>
            <w:noWrap/>
            <w:vAlign w:val="bottom"/>
          </w:tcPr>
          <w:p w14:paraId="03044D4A" w14:textId="77777777" w:rsidR="007E272D" w:rsidRPr="000604BD" w:rsidRDefault="007E272D" w:rsidP="006F03B9">
            <w:pPr>
              <w:spacing w:after="0" w:line="240" w:lineRule="auto"/>
              <w:rPr>
                <w:rFonts w:ascii="Garamond" w:eastAsia="Times New Roman" w:hAnsi="Garamond" w:cs="Times New Roman"/>
                <w:b/>
                <w:bCs/>
                <w:color w:val="000000"/>
                <w:sz w:val="16"/>
                <w:szCs w:val="16"/>
                <w:lang w:val="en-GB" w:eastAsia="it-IT"/>
              </w:rPr>
            </w:pPr>
          </w:p>
        </w:tc>
        <w:tc>
          <w:tcPr>
            <w:tcW w:w="1502" w:type="dxa"/>
            <w:gridSpan w:val="2"/>
            <w:tcBorders>
              <w:left w:val="nil"/>
              <w:bottom w:val="single" w:sz="4" w:space="0" w:color="auto"/>
              <w:right w:val="nil"/>
            </w:tcBorders>
            <w:shd w:val="clear" w:color="auto" w:fill="auto"/>
            <w:noWrap/>
            <w:vAlign w:val="bottom"/>
          </w:tcPr>
          <w:p w14:paraId="5715BF63" w14:textId="77777777" w:rsidR="007E272D" w:rsidRPr="000604BD" w:rsidRDefault="007E272D" w:rsidP="006F03B9">
            <w:pPr>
              <w:spacing w:after="0" w:line="240" w:lineRule="auto"/>
              <w:rPr>
                <w:rFonts w:ascii="Garamond" w:eastAsia="Times New Roman" w:hAnsi="Garamond" w:cs="Times New Roman"/>
                <w:b/>
                <w:bCs/>
                <w:color w:val="000000"/>
                <w:sz w:val="16"/>
                <w:szCs w:val="16"/>
                <w:lang w:val="en-GB" w:eastAsia="it-IT"/>
              </w:rPr>
            </w:pPr>
          </w:p>
        </w:tc>
        <w:tc>
          <w:tcPr>
            <w:tcW w:w="1042" w:type="dxa"/>
            <w:gridSpan w:val="2"/>
            <w:tcBorders>
              <w:left w:val="nil"/>
              <w:bottom w:val="single" w:sz="4" w:space="0" w:color="auto"/>
              <w:right w:val="nil"/>
            </w:tcBorders>
            <w:shd w:val="clear" w:color="auto" w:fill="auto"/>
            <w:noWrap/>
            <w:vAlign w:val="bottom"/>
          </w:tcPr>
          <w:p w14:paraId="785C18F2" w14:textId="77777777" w:rsidR="007E272D" w:rsidRPr="000604BD" w:rsidRDefault="007E272D" w:rsidP="00476F0A">
            <w:pPr>
              <w:spacing w:after="0" w:line="240" w:lineRule="auto"/>
              <w:rPr>
                <w:rFonts w:ascii="Garamond" w:eastAsia="Times New Roman" w:hAnsi="Garamond" w:cs="Times New Roman"/>
                <w:sz w:val="16"/>
                <w:szCs w:val="16"/>
                <w:lang w:val="en-GB" w:eastAsia="it-IT"/>
              </w:rPr>
            </w:pPr>
          </w:p>
        </w:tc>
        <w:tc>
          <w:tcPr>
            <w:tcW w:w="1567" w:type="dxa"/>
            <w:gridSpan w:val="2"/>
            <w:tcBorders>
              <w:left w:val="nil"/>
              <w:bottom w:val="single" w:sz="4" w:space="0" w:color="auto"/>
              <w:right w:val="nil"/>
            </w:tcBorders>
            <w:shd w:val="clear" w:color="auto" w:fill="auto"/>
            <w:noWrap/>
            <w:vAlign w:val="bottom"/>
          </w:tcPr>
          <w:p w14:paraId="003606E9" w14:textId="77777777" w:rsidR="007E272D" w:rsidRPr="000604BD" w:rsidRDefault="007E272D" w:rsidP="00476F0A">
            <w:pPr>
              <w:spacing w:after="0" w:line="240" w:lineRule="auto"/>
              <w:rPr>
                <w:rFonts w:ascii="Garamond" w:eastAsia="Times New Roman" w:hAnsi="Garamond" w:cs="Times New Roman"/>
                <w:sz w:val="16"/>
                <w:szCs w:val="16"/>
                <w:lang w:val="en-GB" w:eastAsia="it-IT"/>
              </w:rPr>
            </w:pPr>
          </w:p>
        </w:tc>
        <w:tc>
          <w:tcPr>
            <w:tcW w:w="851" w:type="dxa"/>
            <w:tcBorders>
              <w:left w:val="nil"/>
              <w:bottom w:val="single" w:sz="4" w:space="0" w:color="auto"/>
              <w:right w:val="nil"/>
            </w:tcBorders>
            <w:shd w:val="clear" w:color="auto" w:fill="auto"/>
            <w:noWrap/>
            <w:vAlign w:val="bottom"/>
          </w:tcPr>
          <w:p w14:paraId="33B3CA06" w14:textId="77777777" w:rsidR="007E272D" w:rsidRPr="000604BD" w:rsidRDefault="007E272D" w:rsidP="00476F0A">
            <w:pPr>
              <w:spacing w:after="0" w:line="240" w:lineRule="auto"/>
              <w:rPr>
                <w:rFonts w:ascii="Garamond" w:eastAsia="Times New Roman" w:hAnsi="Garamond" w:cs="Times New Roman"/>
                <w:sz w:val="16"/>
                <w:szCs w:val="16"/>
                <w:lang w:val="en-GB" w:eastAsia="it-IT"/>
              </w:rPr>
            </w:pPr>
          </w:p>
        </w:tc>
      </w:tr>
      <w:tr w:rsidR="00B20A42" w:rsidRPr="000604BD" w14:paraId="6E345F11" w14:textId="77777777" w:rsidTr="00B20A42">
        <w:trPr>
          <w:trHeight w:val="300"/>
        </w:trPr>
        <w:tc>
          <w:tcPr>
            <w:tcW w:w="2126" w:type="dxa"/>
            <w:tcBorders>
              <w:top w:val="single" w:sz="4" w:space="0" w:color="auto"/>
              <w:left w:val="nil"/>
              <w:bottom w:val="single" w:sz="4" w:space="0" w:color="auto"/>
              <w:right w:val="nil"/>
            </w:tcBorders>
            <w:shd w:val="clear" w:color="auto" w:fill="auto"/>
            <w:noWrap/>
            <w:vAlign w:val="bottom"/>
            <w:hideMark/>
          </w:tcPr>
          <w:p w14:paraId="443765D5" w14:textId="06D2FB2B" w:rsidR="00B20A42" w:rsidRPr="000604BD" w:rsidRDefault="00B20A42" w:rsidP="00476F0A">
            <w:pPr>
              <w:spacing w:after="0" w:line="240" w:lineRule="auto"/>
              <w:rPr>
                <w:rFonts w:ascii="Garamond" w:eastAsia="Times New Roman" w:hAnsi="Garamond" w:cs="Times New Roman"/>
                <w:sz w:val="16"/>
                <w:szCs w:val="16"/>
                <w:lang w:val="en-GB" w:eastAsia="it-IT"/>
              </w:rPr>
            </w:pPr>
            <w:r w:rsidRPr="000604BD">
              <w:rPr>
                <w:rFonts w:ascii="Garamond" w:eastAsia="Times New Roman" w:hAnsi="Garamond" w:cs="Times New Roman"/>
                <w:b/>
                <w:bCs/>
                <w:color w:val="000000"/>
                <w:sz w:val="16"/>
                <w:szCs w:val="16"/>
                <w:lang w:val="en-GB" w:eastAsia="it-IT"/>
              </w:rPr>
              <w:t>Chinese BGs</w:t>
            </w:r>
          </w:p>
        </w:tc>
        <w:tc>
          <w:tcPr>
            <w:tcW w:w="851" w:type="dxa"/>
            <w:tcBorders>
              <w:top w:val="single" w:sz="4" w:space="0" w:color="auto"/>
              <w:left w:val="nil"/>
              <w:bottom w:val="single" w:sz="4" w:space="0" w:color="auto"/>
              <w:right w:val="nil"/>
            </w:tcBorders>
            <w:shd w:val="clear" w:color="auto" w:fill="auto"/>
            <w:noWrap/>
            <w:vAlign w:val="bottom"/>
            <w:hideMark/>
          </w:tcPr>
          <w:p w14:paraId="1C4A7C5D"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Greenfield</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7091C969"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M&amp;A</w:t>
            </w:r>
          </w:p>
        </w:tc>
        <w:tc>
          <w:tcPr>
            <w:tcW w:w="1701" w:type="dxa"/>
            <w:gridSpan w:val="2"/>
            <w:tcBorders>
              <w:top w:val="single" w:sz="4" w:space="0" w:color="auto"/>
              <w:left w:val="nil"/>
              <w:bottom w:val="single" w:sz="4" w:space="0" w:color="auto"/>
              <w:right w:val="nil"/>
            </w:tcBorders>
            <w:shd w:val="clear" w:color="auto" w:fill="auto"/>
            <w:noWrap/>
            <w:vAlign w:val="bottom"/>
            <w:hideMark/>
          </w:tcPr>
          <w:p w14:paraId="23E8A1E1"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Minority investment</w:t>
            </w:r>
          </w:p>
        </w:tc>
        <w:tc>
          <w:tcPr>
            <w:tcW w:w="1134" w:type="dxa"/>
            <w:gridSpan w:val="2"/>
            <w:tcBorders>
              <w:top w:val="single" w:sz="4" w:space="0" w:color="auto"/>
              <w:left w:val="nil"/>
              <w:bottom w:val="single" w:sz="4" w:space="0" w:color="auto"/>
              <w:right w:val="nil"/>
            </w:tcBorders>
            <w:shd w:val="clear" w:color="auto" w:fill="auto"/>
            <w:noWrap/>
            <w:vAlign w:val="bottom"/>
            <w:hideMark/>
          </w:tcPr>
          <w:p w14:paraId="2E96FB66"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Total</w:t>
            </w:r>
          </w:p>
        </w:tc>
      </w:tr>
      <w:tr w:rsidR="00B20A42" w:rsidRPr="000604BD" w14:paraId="77D9462F" w14:textId="77777777" w:rsidTr="00B20A42">
        <w:trPr>
          <w:trHeight w:val="345"/>
        </w:trPr>
        <w:tc>
          <w:tcPr>
            <w:tcW w:w="2126" w:type="dxa"/>
            <w:tcBorders>
              <w:top w:val="single" w:sz="4" w:space="0" w:color="auto"/>
              <w:left w:val="nil"/>
              <w:bottom w:val="nil"/>
              <w:right w:val="nil"/>
            </w:tcBorders>
            <w:shd w:val="clear" w:color="auto" w:fill="auto"/>
            <w:noWrap/>
            <w:vAlign w:val="bottom"/>
            <w:hideMark/>
          </w:tcPr>
          <w:p w14:paraId="6A2FF0A8" w14:textId="30D19EC3"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Timid internationalisers </w:t>
            </w:r>
          </w:p>
        </w:tc>
        <w:tc>
          <w:tcPr>
            <w:tcW w:w="851" w:type="dxa"/>
            <w:tcBorders>
              <w:top w:val="single" w:sz="4" w:space="0" w:color="auto"/>
              <w:left w:val="nil"/>
              <w:bottom w:val="nil"/>
              <w:right w:val="nil"/>
            </w:tcBorders>
            <w:shd w:val="clear" w:color="auto" w:fill="auto"/>
            <w:noWrap/>
            <w:vAlign w:val="bottom"/>
            <w:hideMark/>
          </w:tcPr>
          <w:p w14:paraId="4C304302" w14:textId="7B55D8F4"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377</w:t>
            </w:r>
            <w:r>
              <w:rPr>
                <w:rFonts w:ascii="Garamond" w:eastAsia="Times New Roman" w:hAnsi="Garamond" w:cs="Times New Roman"/>
                <w:color w:val="000000"/>
                <w:sz w:val="16"/>
                <w:szCs w:val="16"/>
                <w:lang w:val="en-GB" w:eastAsia="it-IT"/>
              </w:rPr>
              <w:t xml:space="preserve"> (79%)</w:t>
            </w:r>
          </w:p>
        </w:tc>
        <w:tc>
          <w:tcPr>
            <w:tcW w:w="1276" w:type="dxa"/>
            <w:gridSpan w:val="2"/>
            <w:tcBorders>
              <w:top w:val="single" w:sz="4" w:space="0" w:color="auto"/>
              <w:left w:val="nil"/>
              <w:bottom w:val="nil"/>
              <w:right w:val="nil"/>
            </w:tcBorders>
            <w:shd w:val="clear" w:color="auto" w:fill="auto"/>
            <w:noWrap/>
            <w:vAlign w:val="bottom"/>
            <w:hideMark/>
          </w:tcPr>
          <w:p w14:paraId="728785BB" w14:textId="16AEE2C5"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79</w:t>
            </w:r>
            <w:r>
              <w:rPr>
                <w:rFonts w:ascii="Garamond" w:eastAsia="Times New Roman" w:hAnsi="Garamond" w:cs="Times New Roman"/>
                <w:color w:val="000000"/>
                <w:sz w:val="16"/>
                <w:szCs w:val="16"/>
                <w:lang w:val="en-GB" w:eastAsia="it-IT"/>
              </w:rPr>
              <w:t xml:space="preserve"> (17%)</w:t>
            </w:r>
          </w:p>
        </w:tc>
        <w:tc>
          <w:tcPr>
            <w:tcW w:w="1701" w:type="dxa"/>
            <w:gridSpan w:val="2"/>
            <w:tcBorders>
              <w:top w:val="single" w:sz="4" w:space="0" w:color="auto"/>
              <w:left w:val="nil"/>
              <w:bottom w:val="single" w:sz="4" w:space="0" w:color="EBF1DE"/>
              <w:right w:val="nil"/>
            </w:tcBorders>
            <w:shd w:val="clear" w:color="auto" w:fill="auto"/>
            <w:noWrap/>
            <w:vAlign w:val="bottom"/>
            <w:hideMark/>
          </w:tcPr>
          <w:p w14:paraId="54224740" w14:textId="3C144157" w:rsidR="00B20A42" w:rsidRPr="000604BD" w:rsidRDefault="00B20A42" w:rsidP="00A87310">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21</w:t>
            </w:r>
            <w:r>
              <w:rPr>
                <w:rFonts w:ascii="Garamond" w:eastAsia="Times New Roman" w:hAnsi="Garamond" w:cs="Times New Roman"/>
                <w:color w:val="000000"/>
                <w:sz w:val="16"/>
                <w:szCs w:val="16"/>
                <w:lang w:val="en-GB" w:eastAsia="it-IT"/>
              </w:rPr>
              <w:t xml:space="preserve"> (4%)</w:t>
            </w:r>
          </w:p>
        </w:tc>
        <w:tc>
          <w:tcPr>
            <w:tcW w:w="1134" w:type="dxa"/>
            <w:gridSpan w:val="2"/>
            <w:tcBorders>
              <w:top w:val="single" w:sz="4" w:space="0" w:color="auto"/>
              <w:left w:val="nil"/>
              <w:bottom w:val="nil"/>
              <w:right w:val="nil"/>
            </w:tcBorders>
            <w:shd w:val="clear" w:color="auto" w:fill="auto"/>
            <w:noWrap/>
            <w:vAlign w:val="bottom"/>
            <w:hideMark/>
          </w:tcPr>
          <w:p w14:paraId="421446E1" w14:textId="27710FBD"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477</w:t>
            </w:r>
            <w:r>
              <w:rPr>
                <w:rFonts w:ascii="Garamond" w:eastAsia="Times New Roman" w:hAnsi="Garamond" w:cs="Times New Roman"/>
                <w:color w:val="000000"/>
                <w:sz w:val="16"/>
                <w:szCs w:val="16"/>
                <w:lang w:val="en-GB" w:eastAsia="it-IT"/>
              </w:rPr>
              <w:t xml:space="preserve"> (100%)</w:t>
            </w:r>
          </w:p>
        </w:tc>
      </w:tr>
      <w:tr w:rsidR="00B20A42" w:rsidRPr="000604BD" w14:paraId="668D5870" w14:textId="77777777" w:rsidTr="00B20A42">
        <w:trPr>
          <w:trHeight w:val="345"/>
        </w:trPr>
        <w:tc>
          <w:tcPr>
            <w:tcW w:w="2126" w:type="dxa"/>
            <w:tcBorders>
              <w:top w:val="nil"/>
              <w:left w:val="nil"/>
              <w:bottom w:val="nil"/>
              <w:right w:val="nil"/>
            </w:tcBorders>
            <w:shd w:val="clear" w:color="auto" w:fill="auto"/>
            <w:noWrap/>
            <w:vAlign w:val="bottom"/>
            <w:hideMark/>
          </w:tcPr>
          <w:p w14:paraId="65667D3F" w14:textId="73638B9B"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Pr>
                <w:rFonts w:ascii="Garamond" w:eastAsia="Times New Roman" w:hAnsi="Garamond" w:cs="Times New Roman"/>
                <w:color w:val="000000"/>
                <w:sz w:val="16"/>
                <w:szCs w:val="16"/>
                <w:lang w:val="en-GB" w:eastAsia="it-IT"/>
              </w:rPr>
              <w:t>Multicountry/single sector</w:t>
            </w:r>
          </w:p>
        </w:tc>
        <w:tc>
          <w:tcPr>
            <w:tcW w:w="851" w:type="dxa"/>
            <w:tcBorders>
              <w:top w:val="nil"/>
              <w:left w:val="nil"/>
              <w:bottom w:val="nil"/>
              <w:right w:val="nil"/>
            </w:tcBorders>
            <w:shd w:val="clear" w:color="auto" w:fill="auto"/>
            <w:noWrap/>
            <w:vAlign w:val="bottom"/>
            <w:hideMark/>
          </w:tcPr>
          <w:p w14:paraId="27DFC39D" w14:textId="060F5EA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113</w:t>
            </w:r>
            <w:r>
              <w:rPr>
                <w:rFonts w:ascii="Garamond" w:eastAsia="Times New Roman" w:hAnsi="Garamond" w:cs="Times New Roman"/>
                <w:color w:val="000000"/>
                <w:sz w:val="16"/>
                <w:szCs w:val="16"/>
                <w:lang w:val="en-GB" w:eastAsia="it-IT"/>
              </w:rPr>
              <w:t xml:space="preserve"> (91%)</w:t>
            </w:r>
          </w:p>
        </w:tc>
        <w:tc>
          <w:tcPr>
            <w:tcW w:w="1276" w:type="dxa"/>
            <w:gridSpan w:val="2"/>
            <w:tcBorders>
              <w:top w:val="nil"/>
              <w:left w:val="nil"/>
              <w:bottom w:val="nil"/>
              <w:right w:val="nil"/>
            </w:tcBorders>
            <w:shd w:val="clear" w:color="auto" w:fill="auto"/>
            <w:noWrap/>
            <w:vAlign w:val="bottom"/>
            <w:hideMark/>
          </w:tcPr>
          <w:p w14:paraId="4E601CD3" w14:textId="54A27B6B"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8</w:t>
            </w:r>
            <w:r>
              <w:rPr>
                <w:rFonts w:ascii="Garamond" w:eastAsia="Times New Roman" w:hAnsi="Garamond" w:cs="Times New Roman"/>
                <w:color w:val="000000"/>
                <w:sz w:val="16"/>
                <w:szCs w:val="16"/>
                <w:lang w:val="en-GB" w:eastAsia="it-IT"/>
              </w:rPr>
              <w:t xml:space="preserve"> (6%)</w:t>
            </w:r>
          </w:p>
        </w:tc>
        <w:tc>
          <w:tcPr>
            <w:tcW w:w="1701" w:type="dxa"/>
            <w:gridSpan w:val="2"/>
            <w:tcBorders>
              <w:top w:val="nil"/>
              <w:left w:val="nil"/>
              <w:bottom w:val="single" w:sz="4" w:space="0" w:color="EBF1DE"/>
              <w:right w:val="nil"/>
            </w:tcBorders>
            <w:shd w:val="clear" w:color="auto" w:fill="auto"/>
            <w:noWrap/>
            <w:vAlign w:val="bottom"/>
            <w:hideMark/>
          </w:tcPr>
          <w:p w14:paraId="583EACBB" w14:textId="7865A1D1"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r>
              <w:rPr>
                <w:rFonts w:ascii="Garamond" w:eastAsia="Times New Roman" w:hAnsi="Garamond" w:cs="Times New Roman"/>
                <w:color w:val="000000"/>
                <w:sz w:val="16"/>
                <w:szCs w:val="16"/>
                <w:lang w:val="en-GB" w:eastAsia="it-IT"/>
              </w:rPr>
              <w:t xml:space="preserve"> (2%)</w:t>
            </w:r>
          </w:p>
        </w:tc>
        <w:tc>
          <w:tcPr>
            <w:tcW w:w="1134" w:type="dxa"/>
            <w:gridSpan w:val="2"/>
            <w:tcBorders>
              <w:top w:val="nil"/>
              <w:left w:val="nil"/>
              <w:bottom w:val="nil"/>
              <w:right w:val="nil"/>
            </w:tcBorders>
            <w:shd w:val="clear" w:color="auto" w:fill="auto"/>
            <w:noWrap/>
            <w:vAlign w:val="bottom"/>
            <w:hideMark/>
          </w:tcPr>
          <w:p w14:paraId="77757937" w14:textId="046F8DDB"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124</w:t>
            </w:r>
            <w:r>
              <w:rPr>
                <w:rFonts w:ascii="Garamond" w:eastAsia="Times New Roman" w:hAnsi="Garamond" w:cs="Times New Roman"/>
                <w:color w:val="000000"/>
                <w:sz w:val="16"/>
                <w:szCs w:val="16"/>
                <w:lang w:val="en-GB" w:eastAsia="it-IT"/>
              </w:rPr>
              <w:t xml:space="preserve"> (100%)</w:t>
            </w:r>
          </w:p>
        </w:tc>
      </w:tr>
      <w:tr w:rsidR="00B20A42" w:rsidRPr="000604BD" w14:paraId="5F7D0845" w14:textId="77777777" w:rsidTr="00B20A42">
        <w:trPr>
          <w:trHeight w:val="345"/>
        </w:trPr>
        <w:tc>
          <w:tcPr>
            <w:tcW w:w="2126" w:type="dxa"/>
            <w:tcBorders>
              <w:top w:val="nil"/>
              <w:left w:val="nil"/>
              <w:bottom w:val="nil"/>
              <w:right w:val="nil"/>
            </w:tcBorders>
            <w:shd w:val="clear" w:color="auto" w:fill="auto"/>
            <w:noWrap/>
            <w:vAlign w:val="bottom"/>
            <w:hideMark/>
          </w:tcPr>
          <w:p w14:paraId="5786B619" w14:textId="6AE7EEB6" w:rsidR="00B20A42" w:rsidRPr="000604BD" w:rsidRDefault="00B20A42" w:rsidP="00476F0A">
            <w:pPr>
              <w:spacing w:after="0" w:line="240" w:lineRule="auto"/>
              <w:rPr>
                <w:rFonts w:ascii="Garamond" w:eastAsia="Times New Roman" w:hAnsi="Garamond" w:cs="Times New Roman"/>
                <w:color w:val="000000"/>
                <w:sz w:val="16"/>
                <w:szCs w:val="16"/>
                <w:lang w:val="en-GB" w:eastAsia="it-IT"/>
              </w:rPr>
            </w:pPr>
            <w:r>
              <w:rPr>
                <w:rFonts w:ascii="Garamond" w:eastAsia="Times New Roman" w:hAnsi="Garamond" w:cs="Times New Roman"/>
                <w:color w:val="000000"/>
                <w:sz w:val="16"/>
                <w:szCs w:val="16"/>
                <w:lang w:val="en-GB" w:eastAsia="it-IT"/>
              </w:rPr>
              <w:t>Multisector/single country</w:t>
            </w:r>
          </w:p>
        </w:tc>
        <w:tc>
          <w:tcPr>
            <w:tcW w:w="851" w:type="dxa"/>
            <w:tcBorders>
              <w:top w:val="nil"/>
              <w:left w:val="nil"/>
              <w:bottom w:val="nil"/>
              <w:right w:val="nil"/>
            </w:tcBorders>
            <w:shd w:val="clear" w:color="auto" w:fill="auto"/>
            <w:noWrap/>
            <w:vAlign w:val="bottom"/>
            <w:hideMark/>
          </w:tcPr>
          <w:p w14:paraId="6604CF1F" w14:textId="69FEA860"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10</w:t>
            </w:r>
            <w:r>
              <w:rPr>
                <w:rFonts w:ascii="Garamond" w:eastAsia="Times New Roman" w:hAnsi="Garamond" w:cs="Times New Roman"/>
                <w:color w:val="000000"/>
                <w:sz w:val="16"/>
                <w:szCs w:val="16"/>
                <w:lang w:val="en-GB" w:eastAsia="it-IT"/>
              </w:rPr>
              <w:t xml:space="preserve"> (59%)</w:t>
            </w:r>
          </w:p>
        </w:tc>
        <w:tc>
          <w:tcPr>
            <w:tcW w:w="1276" w:type="dxa"/>
            <w:gridSpan w:val="2"/>
            <w:tcBorders>
              <w:top w:val="nil"/>
              <w:left w:val="nil"/>
              <w:bottom w:val="nil"/>
              <w:right w:val="nil"/>
            </w:tcBorders>
            <w:shd w:val="clear" w:color="auto" w:fill="auto"/>
            <w:noWrap/>
            <w:vAlign w:val="bottom"/>
            <w:hideMark/>
          </w:tcPr>
          <w:p w14:paraId="618AC3A2" w14:textId="698E6D79"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7</w:t>
            </w:r>
            <w:r>
              <w:rPr>
                <w:rFonts w:ascii="Garamond" w:eastAsia="Times New Roman" w:hAnsi="Garamond" w:cs="Times New Roman"/>
                <w:color w:val="000000"/>
                <w:sz w:val="16"/>
                <w:szCs w:val="16"/>
                <w:lang w:val="en-GB" w:eastAsia="it-IT"/>
              </w:rPr>
              <w:t xml:space="preserve"> (41%)</w:t>
            </w:r>
          </w:p>
        </w:tc>
        <w:tc>
          <w:tcPr>
            <w:tcW w:w="1701" w:type="dxa"/>
            <w:gridSpan w:val="2"/>
            <w:tcBorders>
              <w:top w:val="nil"/>
              <w:left w:val="nil"/>
              <w:bottom w:val="single" w:sz="4" w:space="0" w:color="EBF1DE"/>
              <w:right w:val="nil"/>
            </w:tcBorders>
            <w:shd w:val="clear" w:color="auto" w:fill="auto"/>
            <w:noWrap/>
            <w:vAlign w:val="bottom"/>
            <w:hideMark/>
          </w:tcPr>
          <w:p w14:paraId="238002DB" w14:textId="701B7FB1"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0</w:t>
            </w:r>
            <w:r>
              <w:rPr>
                <w:rFonts w:ascii="Garamond" w:eastAsia="Times New Roman" w:hAnsi="Garamond" w:cs="Times New Roman"/>
                <w:color w:val="000000"/>
                <w:sz w:val="16"/>
                <w:szCs w:val="16"/>
                <w:lang w:val="en-GB" w:eastAsia="it-IT"/>
              </w:rPr>
              <w:t xml:space="preserve"> (0%)</w:t>
            </w:r>
          </w:p>
        </w:tc>
        <w:tc>
          <w:tcPr>
            <w:tcW w:w="1134" w:type="dxa"/>
            <w:gridSpan w:val="2"/>
            <w:tcBorders>
              <w:top w:val="nil"/>
              <w:left w:val="nil"/>
              <w:bottom w:val="nil"/>
              <w:right w:val="nil"/>
            </w:tcBorders>
            <w:shd w:val="clear" w:color="auto" w:fill="auto"/>
            <w:noWrap/>
            <w:vAlign w:val="bottom"/>
            <w:hideMark/>
          </w:tcPr>
          <w:p w14:paraId="00FA5FB5" w14:textId="477F9FDF"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17</w:t>
            </w:r>
            <w:r>
              <w:rPr>
                <w:rFonts w:ascii="Garamond" w:eastAsia="Times New Roman" w:hAnsi="Garamond" w:cs="Times New Roman"/>
                <w:color w:val="000000"/>
                <w:sz w:val="16"/>
                <w:szCs w:val="16"/>
                <w:lang w:val="en-GB" w:eastAsia="it-IT"/>
              </w:rPr>
              <w:t xml:space="preserve"> (100%)</w:t>
            </w:r>
          </w:p>
        </w:tc>
      </w:tr>
      <w:tr w:rsidR="00B20A42" w:rsidRPr="000604BD" w14:paraId="75F5C99A" w14:textId="77777777" w:rsidTr="00B20A42">
        <w:trPr>
          <w:trHeight w:val="345"/>
        </w:trPr>
        <w:tc>
          <w:tcPr>
            <w:tcW w:w="2126" w:type="dxa"/>
            <w:tcBorders>
              <w:top w:val="nil"/>
              <w:left w:val="nil"/>
              <w:bottom w:val="nil"/>
              <w:right w:val="nil"/>
            </w:tcBorders>
            <w:shd w:val="clear" w:color="auto" w:fill="auto"/>
            <w:noWrap/>
            <w:vAlign w:val="bottom"/>
            <w:hideMark/>
          </w:tcPr>
          <w:p w14:paraId="5AB322AF" w14:textId="2361C5A3"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Strong</w:t>
            </w:r>
            <w:r>
              <w:rPr>
                <w:rFonts w:ascii="Garamond" w:eastAsia="Times New Roman" w:hAnsi="Garamond" w:cs="Times New Roman"/>
                <w:color w:val="000000"/>
                <w:sz w:val="16"/>
                <w:szCs w:val="16"/>
                <w:lang w:val="en-GB" w:eastAsia="it-IT"/>
              </w:rPr>
              <w:t xml:space="preserve"> </w:t>
            </w:r>
            <w:r w:rsidRPr="000604BD">
              <w:rPr>
                <w:rFonts w:ascii="Garamond" w:eastAsia="Times New Roman" w:hAnsi="Garamond" w:cs="Times New Roman"/>
                <w:color w:val="000000"/>
                <w:sz w:val="16"/>
                <w:szCs w:val="16"/>
                <w:lang w:val="en-GB" w:eastAsia="it-IT"/>
              </w:rPr>
              <w:t xml:space="preserve">internationalisers </w:t>
            </w:r>
          </w:p>
        </w:tc>
        <w:tc>
          <w:tcPr>
            <w:tcW w:w="851" w:type="dxa"/>
            <w:tcBorders>
              <w:top w:val="nil"/>
              <w:left w:val="nil"/>
              <w:bottom w:val="nil"/>
              <w:right w:val="nil"/>
            </w:tcBorders>
            <w:shd w:val="clear" w:color="auto" w:fill="auto"/>
            <w:noWrap/>
            <w:vAlign w:val="bottom"/>
            <w:hideMark/>
          </w:tcPr>
          <w:p w14:paraId="25466D0A" w14:textId="52F47260"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173</w:t>
            </w:r>
            <w:r>
              <w:rPr>
                <w:rFonts w:ascii="Garamond" w:eastAsia="Times New Roman" w:hAnsi="Garamond" w:cs="Times New Roman"/>
                <w:color w:val="000000"/>
                <w:sz w:val="16"/>
                <w:szCs w:val="16"/>
                <w:lang w:val="en-GB" w:eastAsia="it-IT"/>
              </w:rPr>
              <w:t xml:space="preserve"> (77%)</w:t>
            </w:r>
          </w:p>
        </w:tc>
        <w:tc>
          <w:tcPr>
            <w:tcW w:w="1276" w:type="dxa"/>
            <w:gridSpan w:val="2"/>
            <w:tcBorders>
              <w:top w:val="nil"/>
              <w:left w:val="nil"/>
              <w:bottom w:val="nil"/>
              <w:right w:val="nil"/>
            </w:tcBorders>
            <w:shd w:val="clear" w:color="auto" w:fill="auto"/>
            <w:noWrap/>
            <w:vAlign w:val="bottom"/>
            <w:hideMark/>
          </w:tcPr>
          <w:p w14:paraId="19D1EDD4" w14:textId="0089B7C4"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37</w:t>
            </w:r>
            <w:r>
              <w:rPr>
                <w:rFonts w:ascii="Garamond" w:eastAsia="Times New Roman" w:hAnsi="Garamond" w:cs="Times New Roman"/>
                <w:color w:val="000000"/>
                <w:sz w:val="16"/>
                <w:szCs w:val="16"/>
                <w:lang w:val="en-GB" w:eastAsia="it-IT"/>
              </w:rPr>
              <w:t xml:space="preserve"> (17%)</w:t>
            </w:r>
          </w:p>
        </w:tc>
        <w:tc>
          <w:tcPr>
            <w:tcW w:w="1701" w:type="dxa"/>
            <w:gridSpan w:val="2"/>
            <w:tcBorders>
              <w:top w:val="nil"/>
              <w:left w:val="nil"/>
              <w:bottom w:val="single" w:sz="4" w:space="0" w:color="EBF1DE"/>
              <w:right w:val="nil"/>
            </w:tcBorders>
            <w:shd w:val="clear" w:color="auto" w:fill="auto"/>
            <w:noWrap/>
            <w:vAlign w:val="bottom"/>
            <w:hideMark/>
          </w:tcPr>
          <w:p w14:paraId="259DA5A6" w14:textId="3E5B87E9"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13</w:t>
            </w:r>
            <w:r>
              <w:rPr>
                <w:rFonts w:ascii="Garamond" w:eastAsia="Times New Roman" w:hAnsi="Garamond" w:cs="Times New Roman"/>
                <w:color w:val="000000"/>
                <w:sz w:val="16"/>
                <w:szCs w:val="16"/>
                <w:lang w:val="en-GB" w:eastAsia="it-IT"/>
              </w:rPr>
              <w:t xml:space="preserve"> (6%)</w:t>
            </w:r>
          </w:p>
        </w:tc>
        <w:tc>
          <w:tcPr>
            <w:tcW w:w="1134" w:type="dxa"/>
            <w:gridSpan w:val="2"/>
            <w:tcBorders>
              <w:top w:val="nil"/>
              <w:left w:val="nil"/>
              <w:bottom w:val="nil"/>
              <w:right w:val="nil"/>
            </w:tcBorders>
            <w:shd w:val="clear" w:color="auto" w:fill="auto"/>
            <w:noWrap/>
            <w:vAlign w:val="bottom"/>
            <w:hideMark/>
          </w:tcPr>
          <w:p w14:paraId="2BE89DA8" w14:textId="5491548A"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223</w:t>
            </w:r>
            <w:r>
              <w:rPr>
                <w:rFonts w:ascii="Garamond" w:eastAsia="Times New Roman" w:hAnsi="Garamond" w:cs="Times New Roman"/>
                <w:color w:val="000000"/>
                <w:sz w:val="16"/>
                <w:szCs w:val="16"/>
                <w:lang w:val="en-GB" w:eastAsia="it-IT"/>
              </w:rPr>
              <w:t xml:space="preserve"> (100%)</w:t>
            </w:r>
          </w:p>
        </w:tc>
      </w:tr>
      <w:tr w:rsidR="00B20A42" w:rsidRPr="000604BD" w14:paraId="07C3EF8B" w14:textId="77777777" w:rsidTr="00B20A42">
        <w:trPr>
          <w:trHeight w:val="300"/>
        </w:trPr>
        <w:tc>
          <w:tcPr>
            <w:tcW w:w="2126" w:type="dxa"/>
            <w:tcBorders>
              <w:top w:val="nil"/>
              <w:left w:val="nil"/>
              <w:bottom w:val="single" w:sz="4" w:space="0" w:color="auto"/>
              <w:right w:val="nil"/>
            </w:tcBorders>
            <w:shd w:val="clear" w:color="auto" w:fill="auto"/>
            <w:noWrap/>
            <w:vAlign w:val="bottom"/>
            <w:hideMark/>
          </w:tcPr>
          <w:p w14:paraId="714416D2" w14:textId="353FF7A4" w:rsidR="00B20A42" w:rsidRPr="000604BD" w:rsidRDefault="00B20A42" w:rsidP="00476F0A">
            <w:pPr>
              <w:spacing w:after="0" w:line="240" w:lineRule="auto"/>
              <w:rPr>
                <w:rFonts w:ascii="Garamond" w:eastAsia="Times New Roman" w:hAnsi="Garamond" w:cs="Times New Roman"/>
                <w:sz w:val="16"/>
                <w:szCs w:val="16"/>
                <w:lang w:val="en-GB" w:eastAsia="it-IT"/>
              </w:rPr>
            </w:pPr>
            <w:r>
              <w:rPr>
                <w:rFonts w:ascii="Garamond" w:eastAsia="Times New Roman" w:hAnsi="Garamond" w:cs="Times New Roman"/>
                <w:sz w:val="16"/>
                <w:szCs w:val="16"/>
                <w:lang w:val="en-GB" w:eastAsia="it-IT"/>
              </w:rPr>
              <w:t>Total</w:t>
            </w:r>
          </w:p>
        </w:tc>
        <w:tc>
          <w:tcPr>
            <w:tcW w:w="851" w:type="dxa"/>
            <w:tcBorders>
              <w:top w:val="nil"/>
              <w:left w:val="nil"/>
              <w:bottom w:val="single" w:sz="4" w:space="0" w:color="auto"/>
              <w:right w:val="nil"/>
            </w:tcBorders>
            <w:shd w:val="clear" w:color="auto" w:fill="auto"/>
            <w:noWrap/>
            <w:vAlign w:val="bottom"/>
            <w:hideMark/>
          </w:tcPr>
          <w:p w14:paraId="5C2C7C7C" w14:textId="77777777" w:rsidR="00B20A42" w:rsidRPr="000604BD" w:rsidRDefault="00B20A42" w:rsidP="00476F0A">
            <w:pPr>
              <w:spacing w:after="0" w:line="240" w:lineRule="auto"/>
              <w:rPr>
                <w:rFonts w:ascii="Garamond" w:eastAsia="Times New Roman" w:hAnsi="Garamond" w:cs="Times New Roman"/>
                <w:sz w:val="16"/>
                <w:szCs w:val="16"/>
                <w:lang w:val="en-GB" w:eastAsia="it-IT"/>
              </w:rPr>
            </w:pPr>
          </w:p>
        </w:tc>
        <w:tc>
          <w:tcPr>
            <w:tcW w:w="1276" w:type="dxa"/>
            <w:gridSpan w:val="2"/>
            <w:tcBorders>
              <w:top w:val="nil"/>
              <w:left w:val="nil"/>
              <w:bottom w:val="single" w:sz="4" w:space="0" w:color="auto"/>
              <w:right w:val="nil"/>
            </w:tcBorders>
            <w:shd w:val="clear" w:color="auto" w:fill="auto"/>
            <w:noWrap/>
            <w:vAlign w:val="bottom"/>
            <w:hideMark/>
          </w:tcPr>
          <w:p w14:paraId="31B0872D" w14:textId="77777777" w:rsidR="00B20A42" w:rsidRPr="000604BD" w:rsidRDefault="00B20A42" w:rsidP="00476F0A">
            <w:pPr>
              <w:spacing w:after="0" w:line="240" w:lineRule="auto"/>
              <w:rPr>
                <w:rFonts w:ascii="Garamond" w:eastAsia="Times New Roman" w:hAnsi="Garamond" w:cs="Times New Roman"/>
                <w:sz w:val="16"/>
                <w:szCs w:val="16"/>
                <w:lang w:val="en-GB" w:eastAsia="it-IT"/>
              </w:rPr>
            </w:pPr>
          </w:p>
        </w:tc>
        <w:tc>
          <w:tcPr>
            <w:tcW w:w="1701" w:type="dxa"/>
            <w:gridSpan w:val="2"/>
            <w:tcBorders>
              <w:top w:val="nil"/>
              <w:left w:val="nil"/>
              <w:bottom w:val="single" w:sz="4" w:space="0" w:color="auto"/>
              <w:right w:val="nil"/>
            </w:tcBorders>
            <w:shd w:val="clear" w:color="auto" w:fill="auto"/>
            <w:noWrap/>
            <w:vAlign w:val="bottom"/>
            <w:hideMark/>
          </w:tcPr>
          <w:p w14:paraId="5C3E92ED" w14:textId="77777777" w:rsidR="00B20A42" w:rsidRPr="000604BD" w:rsidRDefault="00B20A42" w:rsidP="00476F0A">
            <w:pPr>
              <w:spacing w:after="0" w:line="240" w:lineRule="auto"/>
              <w:rPr>
                <w:rFonts w:ascii="Garamond" w:eastAsia="Times New Roman" w:hAnsi="Garamond" w:cs="Times New Roman"/>
                <w:sz w:val="16"/>
                <w:szCs w:val="16"/>
                <w:lang w:val="en-GB" w:eastAsia="it-IT"/>
              </w:rPr>
            </w:pPr>
          </w:p>
        </w:tc>
        <w:tc>
          <w:tcPr>
            <w:tcW w:w="1134" w:type="dxa"/>
            <w:gridSpan w:val="2"/>
            <w:tcBorders>
              <w:top w:val="nil"/>
              <w:left w:val="nil"/>
              <w:bottom w:val="single" w:sz="4" w:space="0" w:color="auto"/>
              <w:right w:val="nil"/>
            </w:tcBorders>
            <w:shd w:val="clear" w:color="auto" w:fill="auto"/>
            <w:noWrap/>
            <w:vAlign w:val="bottom"/>
            <w:hideMark/>
          </w:tcPr>
          <w:p w14:paraId="6797762C" w14:textId="77777777" w:rsidR="00B20A42" w:rsidRPr="00EF1156" w:rsidRDefault="00B20A42" w:rsidP="00476F0A">
            <w:pPr>
              <w:spacing w:after="0" w:line="240" w:lineRule="auto"/>
              <w:jc w:val="right"/>
              <w:rPr>
                <w:rFonts w:ascii="Garamond" w:eastAsia="Times New Roman" w:hAnsi="Garamond" w:cs="Times New Roman"/>
                <w:bCs/>
                <w:iCs/>
                <w:color w:val="000000"/>
                <w:sz w:val="16"/>
                <w:szCs w:val="16"/>
                <w:lang w:val="en-GB" w:eastAsia="it-IT"/>
              </w:rPr>
            </w:pPr>
            <w:r w:rsidRPr="00EF1156">
              <w:rPr>
                <w:rFonts w:ascii="Garamond" w:eastAsia="Times New Roman" w:hAnsi="Garamond" w:cs="Times New Roman"/>
                <w:bCs/>
                <w:iCs/>
                <w:color w:val="000000"/>
                <w:sz w:val="16"/>
                <w:szCs w:val="16"/>
                <w:lang w:val="en-GB" w:eastAsia="it-IT"/>
              </w:rPr>
              <w:t>841</w:t>
            </w:r>
          </w:p>
        </w:tc>
      </w:tr>
      <w:tr w:rsidR="00B20A42" w:rsidRPr="000604BD" w14:paraId="0BF457D6" w14:textId="77777777" w:rsidTr="00B20A42">
        <w:trPr>
          <w:trHeight w:val="300"/>
        </w:trPr>
        <w:tc>
          <w:tcPr>
            <w:tcW w:w="2126" w:type="dxa"/>
            <w:tcBorders>
              <w:top w:val="single" w:sz="4" w:space="0" w:color="auto"/>
              <w:left w:val="nil"/>
              <w:bottom w:val="single" w:sz="4" w:space="0" w:color="auto"/>
              <w:right w:val="nil"/>
            </w:tcBorders>
            <w:shd w:val="clear" w:color="auto" w:fill="auto"/>
            <w:noWrap/>
            <w:vAlign w:val="bottom"/>
            <w:hideMark/>
          </w:tcPr>
          <w:p w14:paraId="6984E917" w14:textId="639E18A4" w:rsidR="00B20A42" w:rsidRPr="000604BD" w:rsidRDefault="00B20A42" w:rsidP="00476F0A">
            <w:pPr>
              <w:spacing w:after="0" w:line="240" w:lineRule="auto"/>
              <w:rPr>
                <w:rFonts w:ascii="Garamond" w:eastAsia="Times New Roman" w:hAnsi="Garamond" w:cs="Times New Roman"/>
                <w:sz w:val="16"/>
                <w:szCs w:val="16"/>
                <w:lang w:val="en-GB" w:eastAsia="it-IT"/>
              </w:rPr>
            </w:pPr>
            <w:r w:rsidRPr="000604BD">
              <w:rPr>
                <w:rFonts w:ascii="Garamond" w:eastAsia="Times New Roman" w:hAnsi="Garamond" w:cs="Times New Roman"/>
                <w:b/>
                <w:bCs/>
                <w:color w:val="000000"/>
                <w:sz w:val="16"/>
                <w:szCs w:val="16"/>
                <w:lang w:val="en-GB" w:eastAsia="it-IT"/>
              </w:rPr>
              <w:t>Indian BGs</w:t>
            </w:r>
          </w:p>
        </w:tc>
        <w:tc>
          <w:tcPr>
            <w:tcW w:w="851" w:type="dxa"/>
            <w:tcBorders>
              <w:top w:val="single" w:sz="4" w:space="0" w:color="auto"/>
              <w:left w:val="nil"/>
              <w:bottom w:val="single" w:sz="4" w:space="0" w:color="auto"/>
              <w:right w:val="nil"/>
            </w:tcBorders>
            <w:shd w:val="clear" w:color="auto" w:fill="auto"/>
            <w:noWrap/>
            <w:vAlign w:val="bottom"/>
            <w:hideMark/>
          </w:tcPr>
          <w:p w14:paraId="2AEF0281"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Greenfield</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2E3FDEF7"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M&amp;A</w:t>
            </w:r>
          </w:p>
        </w:tc>
        <w:tc>
          <w:tcPr>
            <w:tcW w:w="1701" w:type="dxa"/>
            <w:gridSpan w:val="2"/>
            <w:tcBorders>
              <w:top w:val="single" w:sz="4" w:space="0" w:color="auto"/>
              <w:left w:val="nil"/>
              <w:bottom w:val="single" w:sz="4" w:space="0" w:color="auto"/>
              <w:right w:val="nil"/>
            </w:tcBorders>
            <w:shd w:val="clear" w:color="auto" w:fill="auto"/>
            <w:noWrap/>
            <w:vAlign w:val="bottom"/>
            <w:hideMark/>
          </w:tcPr>
          <w:p w14:paraId="635963DF"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Minority investment</w:t>
            </w:r>
          </w:p>
        </w:tc>
        <w:tc>
          <w:tcPr>
            <w:tcW w:w="1134" w:type="dxa"/>
            <w:gridSpan w:val="2"/>
            <w:tcBorders>
              <w:top w:val="single" w:sz="4" w:space="0" w:color="auto"/>
              <w:left w:val="nil"/>
              <w:bottom w:val="single" w:sz="4" w:space="0" w:color="auto"/>
              <w:right w:val="nil"/>
            </w:tcBorders>
            <w:shd w:val="clear" w:color="auto" w:fill="auto"/>
            <w:noWrap/>
            <w:vAlign w:val="bottom"/>
            <w:hideMark/>
          </w:tcPr>
          <w:p w14:paraId="7759606A" w14:textId="77777777" w:rsidR="00B20A42" w:rsidRPr="000604BD" w:rsidRDefault="00B20A42" w:rsidP="00476F0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Total</w:t>
            </w:r>
          </w:p>
        </w:tc>
      </w:tr>
      <w:tr w:rsidR="00B20A42" w:rsidRPr="000604BD" w14:paraId="4F7B89DC" w14:textId="77777777" w:rsidTr="00B20A42">
        <w:trPr>
          <w:trHeight w:val="345"/>
        </w:trPr>
        <w:tc>
          <w:tcPr>
            <w:tcW w:w="2126" w:type="dxa"/>
            <w:tcBorders>
              <w:top w:val="single" w:sz="4" w:space="0" w:color="auto"/>
              <w:left w:val="nil"/>
              <w:bottom w:val="nil"/>
              <w:right w:val="nil"/>
            </w:tcBorders>
            <w:shd w:val="clear" w:color="auto" w:fill="auto"/>
            <w:noWrap/>
            <w:vAlign w:val="bottom"/>
            <w:hideMark/>
          </w:tcPr>
          <w:p w14:paraId="37DA598D" w14:textId="17F6FACE"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xml:space="preserve">Timid internationalisers </w:t>
            </w:r>
          </w:p>
        </w:tc>
        <w:tc>
          <w:tcPr>
            <w:tcW w:w="851" w:type="dxa"/>
            <w:tcBorders>
              <w:top w:val="single" w:sz="4" w:space="0" w:color="auto"/>
              <w:left w:val="nil"/>
              <w:bottom w:val="nil"/>
              <w:right w:val="nil"/>
            </w:tcBorders>
            <w:shd w:val="clear" w:color="auto" w:fill="auto"/>
            <w:noWrap/>
            <w:vAlign w:val="bottom"/>
            <w:hideMark/>
          </w:tcPr>
          <w:p w14:paraId="4EAA4186" w14:textId="06D49C9A"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178</w:t>
            </w:r>
            <w:r>
              <w:rPr>
                <w:rFonts w:ascii="Garamond" w:eastAsia="Times New Roman" w:hAnsi="Garamond" w:cs="Times New Roman"/>
                <w:color w:val="000000"/>
                <w:sz w:val="16"/>
                <w:szCs w:val="16"/>
                <w:lang w:val="en-GB" w:eastAsia="it-IT"/>
              </w:rPr>
              <w:t xml:space="preserve"> (48%)</w:t>
            </w:r>
          </w:p>
        </w:tc>
        <w:tc>
          <w:tcPr>
            <w:tcW w:w="1276" w:type="dxa"/>
            <w:gridSpan w:val="2"/>
            <w:tcBorders>
              <w:top w:val="single" w:sz="4" w:space="0" w:color="auto"/>
              <w:left w:val="nil"/>
              <w:bottom w:val="nil"/>
              <w:right w:val="nil"/>
            </w:tcBorders>
            <w:shd w:val="clear" w:color="auto" w:fill="auto"/>
            <w:noWrap/>
            <w:vAlign w:val="bottom"/>
            <w:hideMark/>
          </w:tcPr>
          <w:p w14:paraId="74A0A092" w14:textId="25887D9D"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174</w:t>
            </w:r>
            <w:r>
              <w:rPr>
                <w:rFonts w:ascii="Garamond" w:eastAsia="Times New Roman" w:hAnsi="Garamond" w:cs="Times New Roman"/>
                <w:color w:val="000000"/>
                <w:sz w:val="16"/>
                <w:szCs w:val="16"/>
                <w:lang w:val="en-GB" w:eastAsia="it-IT"/>
              </w:rPr>
              <w:t xml:space="preserve"> (46%)</w:t>
            </w:r>
          </w:p>
        </w:tc>
        <w:tc>
          <w:tcPr>
            <w:tcW w:w="1701" w:type="dxa"/>
            <w:gridSpan w:val="2"/>
            <w:tcBorders>
              <w:top w:val="single" w:sz="4" w:space="0" w:color="auto"/>
              <w:left w:val="nil"/>
              <w:bottom w:val="single" w:sz="4" w:space="0" w:color="EBF1DE"/>
              <w:right w:val="nil"/>
            </w:tcBorders>
            <w:shd w:val="clear" w:color="auto" w:fill="auto"/>
            <w:noWrap/>
            <w:vAlign w:val="bottom"/>
            <w:hideMark/>
          </w:tcPr>
          <w:p w14:paraId="513CFAA6" w14:textId="0047B652"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22</w:t>
            </w:r>
            <w:r>
              <w:rPr>
                <w:rFonts w:ascii="Garamond" w:eastAsia="Times New Roman" w:hAnsi="Garamond" w:cs="Times New Roman"/>
                <w:color w:val="000000"/>
                <w:sz w:val="16"/>
                <w:szCs w:val="16"/>
                <w:lang w:val="en-GB" w:eastAsia="it-IT"/>
              </w:rPr>
              <w:t xml:space="preserve"> (6%)</w:t>
            </w:r>
          </w:p>
        </w:tc>
        <w:tc>
          <w:tcPr>
            <w:tcW w:w="1134" w:type="dxa"/>
            <w:gridSpan w:val="2"/>
            <w:tcBorders>
              <w:top w:val="single" w:sz="4" w:space="0" w:color="auto"/>
              <w:left w:val="nil"/>
              <w:bottom w:val="nil"/>
              <w:right w:val="nil"/>
            </w:tcBorders>
            <w:shd w:val="clear" w:color="auto" w:fill="auto"/>
            <w:noWrap/>
            <w:vAlign w:val="bottom"/>
            <w:hideMark/>
          </w:tcPr>
          <w:p w14:paraId="2B6884A7" w14:textId="507FFEFC"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374</w:t>
            </w:r>
            <w:r>
              <w:rPr>
                <w:rFonts w:ascii="Garamond" w:eastAsia="Times New Roman" w:hAnsi="Garamond" w:cs="Times New Roman"/>
                <w:color w:val="000000"/>
                <w:sz w:val="16"/>
                <w:szCs w:val="16"/>
                <w:lang w:val="en-GB" w:eastAsia="it-IT"/>
              </w:rPr>
              <w:t xml:space="preserve"> (100%)</w:t>
            </w:r>
          </w:p>
        </w:tc>
      </w:tr>
      <w:tr w:rsidR="00B20A42" w:rsidRPr="000604BD" w14:paraId="4FDBDB33" w14:textId="77777777" w:rsidTr="00B20A42">
        <w:trPr>
          <w:trHeight w:val="345"/>
        </w:trPr>
        <w:tc>
          <w:tcPr>
            <w:tcW w:w="2126" w:type="dxa"/>
            <w:tcBorders>
              <w:top w:val="nil"/>
              <w:left w:val="nil"/>
              <w:bottom w:val="nil"/>
              <w:right w:val="nil"/>
            </w:tcBorders>
            <w:shd w:val="clear" w:color="auto" w:fill="auto"/>
            <w:noWrap/>
            <w:vAlign w:val="bottom"/>
            <w:hideMark/>
          </w:tcPr>
          <w:p w14:paraId="51648C0C" w14:textId="2228CACD"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Pr>
                <w:rFonts w:ascii="Garamond" w:eastAsia="Times New Roman" w:hAnsi="Garamond" w:cs="Times New Roman"/>
                <w:color w:val="000000"/>
                <w:sz w:val="16"/>
                <w:szCs w:val="16"/>
                <w:lang w:val="en-GB" w:eastAsia="it-IT"/>
              </w:rPr>
              <w:t>Multicountry/single sector</w:t>
            </w:r>
          </w:p>
        </w:tc>
        <w:tc>
          <w:tcPr>
            <w:tcW w:w="851" w:type="dxa"/>
            <w:tcBorders>
              <w:top w:val="nil"/>
              <w:left w:val="nil"/>
              <w:bottom w:val="nil"/>
              <w:right w:val="nil"/>
            </w:tcBorders>
            <w:shd w:val="clear" w:color="auto" w:fill="auto"/>
            <w:noWrap/>
            <w:vAlign w:val="bottom"/>
            <w:hideMark/>
          </w:tcPr>
          <w:p w14:paraId="195D7B02" w14:textId="4E27CA07"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140</w:t>
            </w:r>
            <w:r>
              <w:rPr>
                <w:rFonts w:ascii="Garamond" w:eastAsia="Times New Roman" w:hAnsi="Garamond" w:cs="Times New Roman"/>
                <w:color w:val="000000"/>
                <w:sz w:val="16"/>
                <w:szCs w:val="16"/>
                <w:lang w:val="en-GB" w:eastAsia="it-IT"/>
              </w:rPr>
              <w:t xml:space="preserve"> (68%)</w:t>
            </w:r>
          </w:p>
        </w:tc>
        <w:tc>
          <w:tcPr>
            <w:tcW w:w="1276" w:type="dxa"/>
            <w:gridSpan w:val="2"/>
            <w:tcBorders>
              <w:top w:val="nil"/>
              <w:left w:val="nil"/>
              <w:bottom w:val="nil"/>
              <w:right w:val="nil"/>
            </w:tcBorders>
            <w:shd w:val="clear" w:color="auto" w:fill="auto"/>
            <w:noWrap/>
            <w:vAlign w:val="bottom"/>
            <w:hideMark/>
          </w:tcPr>
          <w:p w14:paraId="3244BC9E" w14:textId="677E4B4D"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61</w:t>
            </w:r>
            <w:r>
              <w:rPr>
                <w:rFonts w:ascii="Garamond" w:eastAsia="Times New Roman" w:hAnsi="Garamond" w:cs="Times New Roman"/>
                <w:color w:val="000000"/>
                <w:sz w:val="16"/>
                <w:szCs w:val="16"/>
                <w:lang w:val="en-GB" w:eastAsia="it-IT"/>
              </w:rPr>
              <w:t xml:space="preserve"> (30%)</w:t>
            </w:r>
          </w:p>
        </w:tc>
        <w:tc>
          <w:tcPr>
            <w:tcW w:w="1701" w:type="dxa"/>
            <w:gridSpan w:val="2"/>
            <w:tcBorders>
              <w:top w:val="nil"/>
              <w:left w:val="nil"/>
              <w:bottom w:val="single" w:sz="4" w:space="0" w:color="EBF1DE"/>
              <w:right w:val="nil"/>
            </w:tcBorders>
            <w:shd w:val="clear" w:color="auto" w:fill="auto"/>
            <w:noWrap/>
            <w:vAlign w:val="bottom"/>
            <w:hideMark/>
          </w:tcPr>
          <w:p w14:paraId="1204B86B" w14:textId="731BC43A"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r>
              <w:rPr>
                <w:rFonts w:ascii="Garamond" w:eastAsia="Times New Roman" w:hAnsi="Garamond" w:cs="Times New Roman"/>
                <w:color w:val="000000"/>
                <w:sz w:val="16"/>
                <w:szCs w:val="16"/>
                <w:lang w:val="en-GB" w:eastAsia="it-IT"/>
              </w:rPr>
              <w:t xml:space="preserve"> (2%)</w:t>
            </w:r>
          </w:p>
        </w:tc>
        <w:tc>
          <w:tcPr>
            <w:tcW w:w="1134" w:type="dxa"/>
            <w:gridSpan w:val="2"/>
            <w:tcBorders>
              <w:top w:val="nil"/>
              <w:left w:val="nil"/>
              <w:bottom w:val="nil"/>
              <w:right w:val="nil"/>
            </w:tcBorders>
            <w:shd w:val="clear" w:color="auto" w:fill="auto"/>
            <w:noWrap/>
            <w:vAlign w:val="bottom"/>
            <w:hideMark/>
          </w:tcPr>
          <w:p w14:paraId="5A238B21" w14:textId="386EB4FF"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205</w:t>
            </w:r>
            <w:r>
              <w:rPr>
                <w:rFonts w:ascii="Garamond" w:eastAsia="Times New Roman" w:hAnsi="Garamond" w:cs="Times New Roman"/>
                <w:color w:val="000000"/>
                <w:sz w:val="16"/>
                <w:szCs w:val="16"/>
                <w:lang w:val="en-GB" w:eastAsia="it-IT"/>
              </w:rPr>
              <w:t xml:space="preserve"> (100%)</w:t>
            </w:r>
          </w:p>
        </w:tc>
      </w:tr>
      <w:tr w:rsidR="00B20A42" w:rsidRPr="000604BD" w14:paraId="0A8A5DA9" w14:textId="77777777" w:rsidTr="00B20A42">
        <w:trPr>
          <w:trHeight w:val="345"/>
        </w:trPr>
        <w:tc>
          <w:tcPr>
            <w:tcW w:w="2126" w:type="dxa"/>
            <w:tcBorders>
              <w:top w:val="nil"/>
              <w:left w:val="nil"/>
              <w:bottom w:val="nil"/>
              <w:right w:val="nil"/>
            </w:tcBorders>
            <w:shd w:val="clear" w:color="auto" w:fill="auto"/>
            <w:noWrap/>
            <w:vAlign w:val="bottom"/>
            <w:hideMark/>
          </w:tcPr>
          <w:p w14:paraId="40752066" w14:textId="166576E0"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Pr>
                <w:rFonts w:ascii="Garamond" w:eastAsia="Times New Roman" w:hAnsi="Garamond" w:cs="Times New Roman"/>
                <w:color w:val="000000"/>
                <w:sz w:val="16"/>
                <w:szCs w:val="16"/>
                <w:lang w:val="en-GB" w:eastAsia="it-IT"/>
              </w:rPr>
              <w:t>Multisector/single country</w:t>
            </w:r>
          </w:p>
        </w:tc>
        <w:tc>
          <w:tcPr>
            <w:tcW w:w="851" w:type="dxa"/>
            <w:tcBorders>
              <w:top w:val="nil"/>
              <w:left w:val="nil"/>
              <w:bottom w:val="nil"/>
              <w:right w:val="nil"/>
            </w:tcBorders>
            <w:shd w:val="clear" w:color="auto" w:fill="auto"/>
            <w:noWrap/>
            <w:vAlign w:val="bottom"/>
            <w:hideMark/>
          </w:tcPr>
          <w:p w14:paraId="6868BFF8" w14:textId="550AFFD7" w:rsidR="00B20A42" w:rsidRPr="000604BD" w:rsidRDefault="00B20A42" w:rsidP="001E2890">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10</w:t>
            </w:r>
            <w:r>
              <w:rPr>
                <w:rFonts w:ascii="Garamond" w:eastAsia="Times New Roman" w:hAnsi="Garamond" w:cs="Times New Roman"/>
                <w:color w:val="000000"/>
                <w:sz w:val="16"/>
                <w:szCs w:val="16"/>
                <w:lang w:val="en-GB" w:eastAsia="it-IT"/>
              </w:rPr>
              <w:t xml:space="preserve"> (29%)</w:t>
            </w:r>
          </w:p>
        </w:tc>
        <w:tc>
          <w:tcPr>
            <w:tcW w:w="1276" w:type="dxa"/>
            <w:gridSpan w:val="2"/>
            <w:tcBorders>
              <w:top w:val="nil"/>
              <w:left w:val="nil"/>
              <w:bottom w:val="nil"/>
              <w:right w:val="nil"/>
            </w:tcBorders>
            <w:shd w:val="clear" w:color="auto" w:fill="auto"/>
            <w:noWrap/>
            <w:vAlign w:val="bottom"/>
            <w:hideMark/>
          </w:tcPr>
          <w:p w14:paraId="159981E9" w14:textId="45976D6C"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21</w:t>
            </w:r>
            <w:r>
              <w:rPr>
                <w:rFonts w:ascii="Garamond" w:eastAsia="Times New Roman" w:hAnsi="Garamond" w:cs="Times New Roman"/>
                <w:color w:val="000000"/>
                <w:sz w:val="16"/>
                <w:szCs w:val="16"/>
                <w:lang w:val="en-GB" w:eastAsia="it-IT"/>
              </w:rPr>
              <w:t xml:space="preserve"> (60%)</w:t>
            </w:r>
          </w:p>
        </w:tc>
        <w:tc>
          <w:tcPr>
            <w:tcW w:w="1701" w:type="dxa"/>
            <w:gridSpan w:val="2"/>
            <w:tcBorders>
              <w:top w:val="nil"/>
              <w:left w:val="nil"/>
              <w:bottom w:val="single" w:sz="4" w:space="0" w:color="EBF1DE"/>
              <w:right w:val="nil"/>
            </w:tcBorders>
            <w:shd w:val="clear" w:color="auto" w:fill="auto"/>
            <w:noWrap/>
            <w:vAlign w:val="bottom"/>
            <w:hideMark/>
          </w:tcPr>
          <w:p w14:paraId="3D1981F0" w14:textId="5D4DA418"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r>
              <w:rPr>
                <w:rFonts w:ascii="Garamond" w:eastAsia="Times New Roman" w:hAnsi="Garamond" w:cs="Times New Roman"/>
                <w:color w:val="000000"/>
                <w:sz w:val="16"/>
                <w:szCs w:val="16"/>
                <w:lang w:val="en-GB" w:eastAsia="it-IT"/>
              </w:rPr>
              <w:t xml:space="preserve"> (11%)</w:t>
            </w:r>
          </w:p>
        </w:tc>
        <w:tc>
          <w:tcPr>
            <w:tcW w:w="1134" w:type="dxa"/>
            <w:gridSpan w:val="2"/>
            <w:tcBorders>
              <w:top w:val="nil"/>
              <w:left w:val="nil"/>
              <w:bottom w:val="nil"/>
              <w:right w:val="nil"/>
            </w:tcBorders>
            <w:shd w:val="clear" w:color="auto" w:fill="auto"/>
            <w:noWrap/>
            <w:vAlign w:val="bottom"/>
            <w:hideMark/>
          </w:tcPr>
          <w:p w14:paraId="169ABA2B" w14:textId="6365E5D3"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35</w:t>
            </w:r>
            <w:r>
              <w:rPr>
                <w:rFonts w:ascii="Garamond" w:eastAsia="Times New Roman" w:hAnsi="Garamond" w:cs="Times New Roman"/>
                <w:color w:val="000000"/>
                <w:sz w:val="16"/>
                <w:szCs w:val="16"/>
                <w:lang w:val="en-GB" w:eastAsia="it-IT"/>
              </w:rPr>
              <w:t xml:space="preserve"> (100%)</w:t>
            </w:r>
          </w:p>
        </w:tc>
      </w:tr>
      <w:tr w:rsidR="00B20A42" w:rsidRPr="000604BD" w14:paraId="588B02AF" w14:textId="77777777" w:rsidTr="00B20A42">
        <w:trPr>
          <w:trHeight w:val="345"/>
        </w:trPr>
        <w:tc>
          <w:tcPr>
            <w:tcW w:w="2126" w:type="dxa"/>
            <w:tcBorders>
              <w:top w:val="nil"/>
              <w:left w:val="nil"/>
              <w:bottom w:val="nil"/>
              <w:right w:val="nil"/>
            </w:tcBorders>
            <w:shd w:val="clear" w:color="auto" w:fill="auto"/>
            <w:noWrap/>
            <w:vAlign w:val="bottom"/>
            <w:hideMark/>
          </w:tcPr>
          <w:p w14:paraId="7937DA95" w14:textId="634E7AAC" w:rsidR="00B20A42" w:rsidRPr="000604BD" w:rsidRDefault="00B20A42" w:rsidP="0085374A">
            <w:pPr>
              <w:spacing w:after="0" w:line="240" w:lineRule="auto"/>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Strong</w:t>
            </w:r>
            <w:r>
              <w:rPr>
                <w:rFonts w:ascii="Garamond" w:eastAsia="Times New Roman" w:hAnsi="Garamond" w:cs="Times New Roman"/>
                <w:color w:val="000000"/>
                <w:sz w:val="16"/>
                <w:szCs w:val="16"/>
                <w:lang w:val="en-GB" w:eastAsia="it-IT"/>
              </w:rPr>
              <w:t xml:space="preserve"> </w:t>
            </w:r>
            <w:r w:rsidRPr="000604BD">
              <w:rPr>
                <w:rFonts w:ascii="Garamond" w:eastAsia="Times New Roman" w:hAnsi="Garamond" w:cs="Times New Roman"/>
                <w:color w:val="000000"/>
                <w:sz w:val="16"/>
                <w:szCs w:val="16"/>
                <w:lang w:val="en-GB" w:eastAsia="it-IT"/>
              </w:rPr>
              <w:t xml:space="preserve">internationalisers </w:t>
            </w:r>
          </w:p>
        </w:tc>
        <w:tc>
          <w:tcPr>
            <w:tcW w:w="851" w:type="dxa"/>
            <w:tcBorders>
              <w:top w:val="nil"/>
              <w:left w:val="nil"/>
              <w:bottom w:val="nil"/>
              <w:right w:val="nil"/>
            </w:tcBorders>
            <w:shd w:val="clear" w:color="auto" w:fill="auto"/>
            <w:noWrap/>
            <w:vAlign w:val="bottom"/>
            <w:hideMark/>
          </w:tcPr>
          <w:p w14:paraId="6EC97D30" w14:textId="2205B373"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192</w:t>
            </w:r>
            <w:r>
              <w:rPr>
                <w:rFonts w:ascii="Garamond" w:eastAsia="Times New Roman" w:hAnsi="Garamond" w:cs="Times New Roman"/>
                <w:color w:val="000000"/>
                <w:sz w:val="16"/>
                <w:szCs w:val="16"/>
                <w:lang w:val="en-GB" w:eastAsia="it-IT"/>
              </w:rPr>
              <w:t xml:space="preserve"> (57%)</w:t>
            </w:r>
          </w:p>
        </w:tc>
        <w:tc>
          <w:tcPr>
            <w:tcW w:w="1276" w:type="dxa"/>
            <w:gridSpan w:val="2"/>
            <w:tcBorders>
              <w:top w:val="nil"/>
              <w:left w:val="nil"/>
              <w:bottom w:val="nil"/>
              <w:right w:val="nil"/>
            </w:tcBorders>
            <w:shd w:val="clear" w:color="auto" w:fill="auto"/>
            <w:noWrap/>
            <w:vAlign w:val="bottom"/>
            <w:hideMark/>
          </w:tcPr>
          <w:p w14:paraId="42D48C67" w14:textId="3F71BB42"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129</w:t>
            </w:r>
            <w:r>
              <w:rPr>
                <w:rFonts w:ascii="Garamond" w:eastAsia="Times New Roman" w:hAnsi="Garamond" w:cs="Times New Roman"/>
                <w:color w:val="000000"/>
                <w:sz w:val="16"/>
                <w:szCs w:val="16"/>
                <w:lang w:val="en-GB" w:eastAsia="it-IT"/>
              </w:rPr>
              <w:t xml:space="preserve"> (39%)</w:t>
            </w:r>
          </w:p>
        </w:tc>
        <w:tc>
          <w:tcPr>
            <w:tcW w:w="1701" w:type="dxa"/>
            <w:gridSpan w:val="2"/>
            <w:tcBorders>
              <w:top w:val="nil"/>
              <w:left w:val="nil"/>
              <w:bottom w:val="single" w:sz="4" w:space="0" w:color="EBF1DE"/>
              <w:right w:val="nil"/>
            </w:tcBorders>
            <w:shd w:val="clear" w:color="auto" w:fill="auto"/>
            <w:noWrap/>
            <w:vAlign w:val="bottom"/>
            <w:hideMark/>
          </w:tcPr>
          <w:p w14:paraId="6F1B2FE5" w14:textId="702BF23B"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14</w:t>
            </w:r>
            <w:r>
              <w:rPr>
                <w:rFonts w:ascii="Garamond" w:eastAsia="Times New Roman" w:hAnsi="Garamond" w:cs="Times New Roman"/>
                <w:color w:val="000000"/>
                <w:sz w:val="16"/>
                <w:szCs w:val="16"/>
                <w:lang w:val="en-GB" w:eastAsia="it-IT"/>
              </w:rPr>
              <w:t xml:space="preserve"> (4%)</w:t>
            </w:r>
          </w:p>
        </w:tc>
        <w:tc>
          <w:tcPr>
            <w:tcW w:w="1134" w:type="dxa"/>
            <w:gridSpan w:val="2"/>
            <w:tcBorders>
              <w:top w:val="nil"/>
              <w:left w:val="nil"/>
              <w:bottom w:val="nil"/>
              <w:right w:val="nil"/>
            </w:tcBorders>
            <w:shd w:val="clear" w:color="auto" w:fill="auto"/>
            <w:noWrap/>
            <w:vAlign w:val="bottom"/>
            <w:hideMark/>
          </w:tcPr>
          <w:p w14:paraId="0109544A" w14:textId="34965388" w:rsidR="00B20A42" w:rsidRPr="000604BD" w:rsidRDefault="00B20A42" w:rsidP="0085374A">
            <w:pPr>
              <w:spacing w:after="0" w:line="240" w:lineRule="auto"/>
              <w:jc w:val="right"/>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335</w:t>
            </w:r>
            <w:r>
              <w:rPr>
                <w:rFonts w:ascii="Garamond" w:eastAsia="Times New Roman" w:hAnsi="Garamond" w:cs="Times New Roman"/>
                <w:color w:val="000000"/>
                <w:sz w:val="16"/>
                <w:szCs w:val="16"/>
                <w:lang w:val="en-GB" w:eastAsia="it-IT"/>
              </w:rPr>
              <w:t xml:space="preserve"> (100%)</w:t>
            </w:r>
          </w:p>
        </w:tc>
      </w:tr>
      <w:tr w:rsidR="00B20A42" w:rsidRPr="000604BD" w14:paraId="4E356F69" w14:textId="77777777" w:rsidTr="00B20A42">
        <w:trPr>
          <w:trHeight w:val="300"/>
        </w:trPr>
        <w:tc>
          <w:tcPr>
            <w:tcW w:w="2126" w:type="dxa"/>
            <w:tcBorders>
              <w:top w:val="nil"/>
              <w:left w:val="nil"/>
              <w:bottom w:val="nil"/>
              <w:right w:val="nil"/>
            </w:tcBorders>
            <w:shd w:val="clear" w:color="auto" w:fill="auto"/>
            <w:noWrap/>
            <w:vAlign w:val="bottom"/>
            <w:hideMark/>
          </w:tcPr>
          <w:p w14:paraId="67F2C971" w14:textId="720C1B74" w:rsidR="00B20A42" w:rsidRPr="000604BD" w:rsidRDefault="00B20A42" w:rsidP="00476F0A">
            <w:pPr>
              <w:spacing w:after="0" w:line="240" w:lineRule="auto"/>
              <w:rPr>
                <w:rFonts w:ascii="Garamond" w:eastAsia="Times New Roman" w:hAnsi="Garamond" w:cs="Times New Roman"/>
                <w:sz w:val="16"/>
                <w:szCs w:val="16"/>
                <w:lang w:val="en-GB" w:eastAsia="it-IT"/>
              </w:rPr>
            </w:pPr>
            <w:r>
              <w:rPr>
                <w:rFonts w:ascii="Garamond" w:eastAsia="Times New Roman" w:hAnsi="Garamond" w:cs="Times New Roman"/>
                <w:sz w:val="16"/>
                <w:szCs w:val="16"/>
                <w:lang w:val="en-GB" w:eastAsia="it-IT"/>
              </w:rPr>
              <w:t>Total</w:t>
            </w:r>
          </w:p>
        </w:tc>
        <w:tc>
          <w:tcPr>
            <w:tcW w:w="1502" w:type="dxa"/>
            <w:gridSpan w:val="2"/>
            <w:tcBorders>
              <w:top w:val="nil"/>
              <w:left w:val="nil"/>
              <w:bottom w:val="nil"/>
              <w:right w:val="nil"/>
            </w:tcBorders>
            <w:shd w:val="clear" w:color="auto" w:fill="auto"/>
            <w:noWrap/>
            <w:vAlign w:val="bottom"/>
            <w:hideMark/>
          </w:tcPr>
          <w:p w14:paraId="6826D408" w14:textId="77777777" w:rsidR="00B20A42" w:rsidRPr="000604BD" w:rsidRDefault="00B20A42" w:rsidP="00476F0A">
            <w:pPr>
              <w:spacing w:after="0" w:line="240" w:lineRule="auto"/>
              <w:rPr>
                <w:rFonts w:ascii="Garamond" w:eastAsia="Times New Roman" w:hAnsi="Garamond" w:cs="Times New Roman"/>
                <w:sz w:val="16"/>
                <w:szCs w:val="16"/>
                <w:lang w:val="en-GB" w:eastAsia="it-IT"/>
              </w:rPr>
            </w:pPr>
          </w:p>
        </w:tc>
        <w:tc>
          <w:tcPr>
            <w:tcW w:w="1042" w:type="dxa"/>
            <w:gridSpan w:val="2"/>
            <w:tcBorders>
              <w:top w:val="nil"/>
              <w:left w:val="nil"/>
              <w:bottom w:val="nil"/>
              <w:right w:val="nil"/>
            </w:tcBorders>
            <w:shd w:val="clear" w:color="auto" w:fill="auto"/>
            <w:noWrap/>
            <w:vAlign w:val="bottom"/>
            <w:hideMark/>
          </w:tcPr>
          <w:p w14:paraId="34A12AE5" w14:textId="77777777" w:rsidR="00B20A42" w:rsidRPr="000604BD" w:rsidRDefault="00B20A42" w:rsidP="00476F0A">
            <w:pPr>
              <w:spacing w:after="0" w:line="240" w:lineRule="auto"/>
              <w:rPr>
                <w:rFonts w:ascii="Garamond" w:eastAsia="Times New Roman" w:hAnsi="Garamond" w:cs="Times New Roman"/>
                <w:sz w:val="16"/>
                <w:szCs w:val="16"/>
                <w:lang w:val="en-GB" w:eastAsia="it-IT"/>
              </w:rPr>
            </w:pPr>
          </w:p>
        </w:tc>
        <w:tc>
          <w:tcPr>
            <w:tcW w:w="1567" w:type="dxa"/>
            <w:gridSpan w:val="2"/>
            <w:tcBorders>
              <w:top w:val="nil"/>
              <w:left w:val="nil"/>
              <w:bottom w:val="nil"/>
              <w:right w:val="nil"/>
            </w:tcBorders>
            <w:shd w:val="clear" w:color="auto" w:fill="auto"/>
            <w:noWrap/>
            <w:vAlign w:val="bottom"/>
            <w:hideMark/>
          </w:tcPr>
          <w:p w14:paraId="25F773ED" w14:textId="77777777" w:rsidR="00B20A42" w:rsidRPr="000604BD" w:rsidRDefault="00B20A42" w:rsidP="00476F0A">
            <w:pPr>
              <w:spacing w:after="0" w:line="240" w:lineRule="auto"/>
              <w:rPr>
                <w:rFonts w:ascii="Garamond" w:eastAsia="Times New Roman" w:hAnsi="Garamond" w:cs="Times New Roman"/>
                <w:sz w:val="16"/>
                <w:szCs w:val="16"/>
                <w:lang w:val="en-GB" w:eastAsia="it-IT"/>
              </w:rPr>
            </w:pPr>
          </w:p>
        </w:tc>
        <w:tc>
          <w:tcPr>
            <w:tcW w:w="851" w:type="dxa"/>
            <w:tcBorders>
              <w:top w:val="nil"/>
              <w:left w:val="nil"/>
              <w:bottom w:val="nil"/>
              <w:right w:val="nil"/>
            </w:tcBorders>
            <w:shd w:val="clear" w:color="auto" w:fill="auto"/>
            <w:noWrap/>
            <w:vAlign w:val="bottom"/>
            <w:hideMark/>
          </w:tcPr>
          <w:p w14:paraId="212711AF" w14:textId="77777777" w:rsidR="00B20A42" w:rsidRPr="00EF1156" w:rsidRDefault="00B20A42" w:rsidP="00476F0A">
            <w:pPr>
              <w:spacing w:after="0" w:line="240" w:lineRule="auto"/>
              <w:jc w:val="right"/>
              <w:rPr>
                <w:rFonts w:ascii="Garamond" w:eastAsia="Times New Roman" w:hAnsi="Garamond" w:cs="Times New Roman"/>
                <w:bCs/>
                <w:iCs/>
                <w:color w:val="000000"/>
                <w:sz w:val="16"/>
                <w:szCs w:val="16"/>
                <w:lang w:val="en-GB" w:eastAsia="it-IT"/>
              </w:rPr>
            </w:pPr>
            <w:r w:rsidRPr="00EF1156">
              <w:rPr>
                <w:rFonts w:ascii="Garamond" w:eastAsia="Times New Roman" w:hAnsi="Garamond" w:cs="Times New Roman"/>
                <w:bCs/>
                <w:iCs/>
                <w:color w:val="000000"/>
                <w:sz w:val="16"/>
                <w:szCs w:val="16"/>
                <w:lang w:val="en-GB" w:eastAsia="it-IT"/>
              </w:rPr>
              <w:t>949</w:t>
            </w:r>
          </w:p>
        </w:tc>
      </w:tr>
    </w:tbl>
    <w:p w14:paraId="17897BBB" w14:textId="1808050A" w:rsidR="003634E9" w:rsidRDefault="00B20A42" w:rsidP="00B20A42">
      <w:pPr>
        <w:pStyle w:val="CommentText"/>
        <w:spacing w:after="0" w:line="360" w:lineRule="auto"/>
        <w:ind w:right="-7"/>
        <w:jc w:val="center"/>
        <w:rPr>
          <w:rFonts w:ascii="Garamond" w:eastAsia="Times New Roman" w:hAnsi="Garamond" w:cs="Times New Roman"/>
          <w:color w:val="000000"/>
          <w:sz w:val="16"/>
          <w:szCs w:val="16"/>
          <w:lang w:val="en-GB" w:eastAsia="it-IT"/>
        </w:rPr>
      </w:pPr>
      <w:r>
        <w:rPr>
          <w:rFonts w:ascii="Garamond" w:eastAsia="Times New Roman" w:hAnsi="Garamond" w:cs="Times New Roman"/>
          <w:color w:val="000000"/>
          <w:sz w:val="16"/>
          <w:szCs w:val="16"/>
          <w:lang w:val="en-GB" w:eastAsia="it-IT"/>
        </w:rPr>
        <w:t>Source: authors’ elaborations on EMENDATA</w:t>
      </w:r>
    </w:p>
    <w:p w14:paraId="06B60F34" w14:textId="77777777" w:rsidR="00B20A42" w:rsidRDefault="00B20A42" w:rsidP="003634E9">
      <w:pPr>
        <w:pStyle w:val="CommentText"/>
        <w:spacing w:after="0" w:line="360" w:lineRule="auto"/>
        <w:ind w:right="-7"/>
        <w:jc w:val="both"/>
        <w:rPr>
          <w:rFonts w:ascii="Garamond" w:hAnsi="Garamond" w:cs="Times New Roman"/>
          <w:sz w:val="22"/>
          <w:szCs w:val="22"/>
          <w:lang w:val="en-GB"/>
        </w:rPr>
      </w:pPr>
    </w:p>
    <w:p w14:paraId="690EACFF" w14:textId="730FA2BA" w:rsidR="008F4C20" w:rsidRDefault="008F4C20" w:rsidP="003634E9">
      <w:pPr>
        <w:pStyle w:val="CommentText"/>
        <w:spacing w:after="0" w:line="360" w:lineRule="auto"/>
        <w:ind w:right="-7"/>
        <w:jc w:val="both"/>
        <w:rPr>
          <w:rFonts w:ascii="Garamond" w:eastAsia="Times New Roman" w:hAnsi="Garamond" w:cs="Times New Roman"/>
          <w:color w:val="000000"/>
          <w:lang w:val="en-GB" w:eastAsia="it-IT"/>
        </w:rPr>
      </w:pPr>
      <w:r>
        <w:rPr>
          <w:rFonts w:ascii="Garamond" w:eastAsia="Times New Roman" w:hAnsi="Garamond" w:cs="Times New Roman"/>
          <w:color w:val="000000"/>
          <w:lang w:val="en-GB" w:eastAsia="it-IT"/>
        </w:rPr>
        <w:t>Inter-country differences emerge even more vividly when looking at the BGs whose foreign expansion in Europe goes along a single dimension. In the case of China, both intermediate types of BGs also prefer greenfield investment to M&amp;A, which makes prima facie evidence that home-country factors might explain why Chinese firms investing in Europe – regardless of the type of BG they belong to – prefer to establish wholly-owned subsidiaries rather than merging with or acquiring existing firms, while Indian firms tend to opt for M&amp;A much more frequently.</w:t>
      </w:r>
    </w:p>
    <w:p w14:paraId="39E2AF95" w14:textId="77777777" w:rsidR="008F4C20" w:rsidRDefault="008F4C20" w:rsidP="003634E9">
      <w:pPr>
        <w:pStyle w:val="CommentText"/>
        <w:spacing w:after="0" w:line="360" w:lineRule="auto"/>
        <w:ind w:right="-7"/>
        <w:jc w:val="both"/>
        <w:rPr>
          <w:rFonts w:ascii="Garamond" w:eastAsia="Times New Roman" w:hAnsi="Garamond" w:cs="Times New Roman"/>
          <w:color w:val="000000"/>
          <w:lang w:val="en-GB" w:eastAsia="it-IT"/>
        </w:rPr>
      </w:pPr>
    </w:p>
    <w:p w14:paraId="64F343B6" w14:textId="7130470B" w:rsidR="00CD50E6" w:rsidRDefault="008F4C20" w:rsidP="003634E9">
      <w:pPr>
        <w:pStyle w:val="CommentText"/>
        <w:spacing w:after="0" w:line="360" w:lineRule="auto"/>
        <w:ind w:right="-7"/>
        <w:jc w:val="both"/>
        <w:rPr>
          <w:rFonts w:ascii="Garamond" w:hAnsi="Garamond" w:cs="Times New Roman"/>
          <w:sz w:val="22"/>
          <w:szCs w:val="22"/>
          <w:lang w:val="en-GB"/>
        </w:rPr>
      </w:pPr>
      <w:r>
        <w:rPr>
          <w:rFonts w:ascii="Garamond" w:eastAsia="Times New Roman" w:hAnsi="Garamond" w:cs="Times New Roman"/>
          <w:color w:val="000000"/>
          <w:lang w:val="en-GB" w:eastAsia="it-IT"/>
        </w:rPr>
        <w:t>Investment motivations are also certainly among the factors explaining the composition of FDI by different types of BGs. On the one hand, groups which are sectorally specialised and pursue a geographical diversification strategy will more likely have sector-specific competences which they can build upon when entering different locations, and will need to rely relatively less on M&amp;A with local firms. On the other hand, groups following a sector diversification strategy with a geographical focus will most likely tend to build upon their knowledge of the domestic market to diversify across different sectors, but will most probably lack sector-specific competences and therefore prefer to merge with local firms.</w:t>
      </w:r>
    </w:p>
    <w:p w14:paraId="63798E1B" w14:textId="77777777" w:rsidR="00CD50E6" w:rsidRPr="000604BD" w:rsidRDefault="00CD50E6" w:rsidP="003634E9">
      <w:pPr>
        <w:pStyle w:val="CommentText"/>
        <w:spacing w:after="0" w:line="360" w:lineRule="auto"/>
        <w:ind w:right="-7"/>
        <w:jc w:val="both"/>
        <w:rPr>
          <w:rFonts w:ascii="Garamond" w:hAnsi="Garamond" w:cs="Times New Roman"/>
          <w:sz w:val="22"/>
          <w:szCs w:val="22"/>
          <w:lang w:val="en-GB"/>
        </w:rPr>
      </w:pPr>
    </w:p>
    <w:p w14:paraId="0E7D0F8F" w14:textId="77777777" w:rsidR="004C3363" w:rsidRPr="000604BD" w:rsidRDefault="004C3363" w:rsidP="004C3363">
      <w:pPr>
        <w:spacing w:line="360" w:lineRule="auto"/>
        <w:jc w:val="both"/>
        <w:rPr>
          <w:rFonts w:ascii="Garamond" w:hAnsi="Garamond" w:cs="Times New Roman"/>
          <w:b/>
          <w:i/>
          <w:lang w:val="en-GB"/>
        </w:rPr>
      </w:pPr>
      <w:r w:rsidRPr="000604BD">
        <w:rPr>
          <w:rFonts w:ascii="Garamond" w:hAnsi="Garamond" w:cs="Times New Roman"/>
          <w:b/>
          <w:i/>
          <w:lang w:val="en-GB"/>
        </w:rPr>
        <w:t>Diversification across sectors and countries</w:t>
      </w:r>
    </w:p>
    <w:p w14:paraId="53B94D6D" w14:textId="41CEA474" w:rsidR="00BB1AF1" w:rsidRDefault="004C3363" w:rsidP="004C3363">
      <w:pPr>
        <w:spacing w:line="360" w:lineRule="auto"/>
        <w:jc w:val="both"/>
        <w:rPr>
          <w:rFonts w:ascii="Garamond" w:hAnsi="Garamond" w:cs="Times New Roman"/>
          <w:lang w:val="en-GB"/>
        </w:rPr>
      </w:pPr>
      <w:r w:rsidRPr="000604BD">
        <w:rPr>
          <w:rFonts w:ascii="Garamond" w:hAnsi="Garamond" w:cs="Times New Roman"/>
          <w:lang w:val="en-GB"/>
        </w:rPr>
        <w:t>As reviewed in Section 2, a prominent issue in country-focused BG research is the degree of product and industry diversification. One of the acquired results from the specialised literature</w:t>
      </w:r>
      <w:r w:rsidR="00CD50E6">
        <w:rPr>
          <w:rFonts w:ascii="Garamond" w:hAnsi="Garamond" w:cs="Times New Roman"/>
          <w:lang w:val="en-GB"/>
        </w:rPr>
        <w:t xml:space="preserve"> more specifically</w:t>
      </w:r>
      <w:r w:rsidRPr="000604BD">
        <w:rPr>
          <w:rFonts w:ascii="Garamond" w:hAnsi="Garamond" w:cs="Times New Roman"/>
          <w:lang w:val="en-GB"/>
        </w:rPr>
        <w:t xml:space="preserve"> on the evolution of BGs in China and India is that, compared to BGs from other early industrialising countries in Asia such as Japan and South Korea, they exhibit rather different sector diversification strategies. Diversification has been modest over time in China, due to stable industry holdings and limited entry and exit from industrial sectors (Lee, 2010), </w:t>
      </w:r>
      <w:r w:rsidRPr="000604BD">
        <w:rPr>
          <w:rFonts w:ascii="Garamond" w:hAnsi="Garamond" w:cs="Times New Roman"/>
          <w:lang w:val="en-GB"/>
        </w:rPr>
        <w:lastRenderedPageBreak/>
        <w:t>while Indian BGs have been either narrowly focused, or highly diversified (ref). In what follows we explore the extent of diversification of Chinese and Indian BGs in Europe over the years 2003-2011 along three dimensions – sector, country and type - with firm-level data on European affiliates. We also jointly analyse how the dimensions of diversification evolved over those years, with the aim to better understand both EMNEs’ corporate strategies and the position of Europe within those strategies.</w:t>
      </w:r>
    </w:p>
    <w:p w14:paraId="080C7A3E" w14:textId="4C0F9C39" w:rsidR="006D1D41" w:rsidRDefault="00C971F7" w:rsidP="006D1D41">
      <w:pPr>
        <w:spacing w:line="360" w:lineRule="auto"/>
        <w:jc w:val="both"/>
        <w:rPr>
          <w:rFonts w:ascii="Garamond" w:hAnsi="Garamond" w:cs="Times New Roman"/>
          <w:lang w:val="en-GB"/>
        </w:rPr>
      </w:pPr>
      <w:r>
        <w:rPr>
          <w:rFonts w:ascii="Garamond" w:hAnsi="Garamond" w:cs="Times New Roman"/>
          <w:lang w:val="en-GB"/>
        </w:rPr>
        <w:t>R</w:t>
      </w:r>
      <w:r w:rsidR="006D1D41">
        <w:rPr>
          <w:rFonts w:ascii="Garamond" w:hAnsi="Garamond" w:cs="Times New Roman"/>
          <w:lang w:val="en-GB"/>
        </w:rPr>
        <w:t>egardless of the type of BG as classified a</w:t>
      </w:r>
      <w:r>
        <w:rPr>
          <w:rFonts w:ascii="Garamond" w:hAnsi="Garamond" w:cs="Times New Roman"/>
          <w:lang w:val="en-GB"/>
        </w:rPr>
        <w:t xml:space="preserve">bove, </w:t>
      </w:r>
      <w:r w:rsidR="00657D99">
        <w:rPr>
          <w:rFonts w:ascii="Garamond" w:hAnsi="Garamond" w:cs="Times New Roman"/>
          <w:lang w:val="en-GB"/>
        </w:rPr>
        <w:t xml:space="preserve">diversification is, on average, slightly higher for Indian than Chinese BGs, both sector- and country-wise (Table 3). For both countries, geographical diversification is higher than industry diversification, but </w:t>
      </w:r>
      <w:r>
        <w:rPr>
          <w:rFonts w:ascii="Garamond" w:hAnsi="Garamond" w:cs="Times New Roman"/>
          <w:lang w:val="en-GB"/>
        </w:rPr>
        <w:t>Chinese BGs in Europe are</w:t>
      </w:r>
      <w:r w:rsidR="006D1D41">
        <w:rPr>
          <w:rFonts w:ascii="Garamond" w:hAnsi="Garamond" w:cs="Times New Roman"/>
          <w:lang w:val="en-GB"/>
        </w:rPr>
        <w:t xml:space="preserve"> more diversified geographically than sectorally, compared to Indian BGs investing in the continent</w:t>
      </w:r>
      <w:r>
        <w:rPr>
          <w:rFonts w:ascii="Garamond" w:hAnsi="Garamond" w:cs="Times New Roman"/>
          <w:lang w:val="en-GB"/>
        </w:rPr>
        <w:t xml:space="preserve">. </w:t>
      </w:r>
      <w:r w:rsidR="00657D99">
        <w:rPr>
          <w:rFonts w:ascii="Garamond" w:hAnsi="Garamond" w:cs="Times New Roman"/>
          <w:lang w:val="en-GB"/>
        </w:rPr>
        <w:t>Moreover, b</w:t>
      </w:r>
      <w:r w:rsidR="006D1D41">
        <w:rPr>
          <w:rFonts w:ascii="Garamond" w:hAnsi="Garamond" w:cs="Times New Roman"/>
          <w:lang w:val="en-GB"/>
        </w:rPr>
        <w:t xml:space="preserve">esides the high number and dominant share of BGs </w:t>
      </w:r>
      <w:r w:rsidR="00657D99">
        <w:rPr>
          <w:rFonts w:ascii="Garamond" w:hAnsi="Garamond" w:cs="Times New Roman"/>
          <w:lang w:val="en-GB"/>
        </w:rPr>
        <w:t xml:space="preserve">from both countries </w:t>
      </w:r>
      <w:r w:rsidR="006D1D41">
        <w:rPr>
          <w:rFonts w:ascii="Garamond" w:hAnsi="Garamond" w:cs="Times New Roman"/>
          <w:lang w:val="en-GB"/>
        </w:rPr>
        <w:t>with limited European exposure both country- and industry-wise (the so called “</w:t>
      </w:r>
      <w:r w:rsidR="00717CB9">
        <w:rPr>
          <w:rFonts w:ascii="Garamond" w:hAnsi="Garamond" w:cs="Times New Roman"/>
          <w:lang w:val="en-GB"/>
        </w:rPr>
        <w:t xml:space="preserve">timid </w:t>
      </w:r>
      <w:r w:rsidR="006D1D41">
        <w:rPr>
          <w:rFonts w:ascii="Garamond" w:hAnsi="Garamond" w:cs="Times New Roman"/>
          <w:lang w:val="en-GB"/>
        </w:rPr>
        <w:t>internationalisers”</w:t>
      </w:r>
      <w:r w:rsidR="00717CB9">
        <w:rPr>
          <w:rFonts w:ascii="Garamond" w:hAnsi="Garamond" w:cs="Times New Roman"/>
          <w:lang w:val="en-GB"/>
        </w:rPr>
        <w:t>)</w:t>
      </w:r>
      <w:r w:rsidR="006D1D41">
        <w:rPr>
          <w:rFonts w:ascii="Garamond" w:hAnsi="Garamond" w:cs="Times New Roman"/>
          <w:lang w:val="en-GB"/>
        </w:rPr>
        <w:t xml:space="preserve">, a </w:t>
      </w:r>
      <w:r w:rsidR="00657D99">
        <w:rPr>
          <w:rFonts w:ascii="Garamond" w:hAnsi="Garamond" w:cs="Times New Roman"/>
          <w:lang w:val="en-GB"/>
        </w:rPr>
        <w:t xml:space="preserve">limited </w:t>
      </w:r>
      <w:r w:rsidR="006D1D41">
        <w:rPr>
          <w:rFonts w:ascii="Garamond" w:hAnsi="Garamond" w:cs="Times New Roman"/>
          <w:lang w:val="en-GB"/>
        </w:rPr>
        <w:t>number of other BGs</w:t>
      </w:r>
      <w:r w:rsidR="00B60184">
        <w:rPr>
          <w:rFonts w:ascii="Garamond" w:hAnsi="Garamond" w:cs="Times New Roman"/>
          <w:lang w:val="en-GB"/>
        </w:rPr>
        <w:t xml:space="preserve"> stand out with </w:t>
      </w:r>
      <w:r w:rsidR="00657D99">
        <w:rPr>
          <w:rFonts w:ascii="Garamond" w:hAnsi="Garamond" w:cs="Times New Roman"/>
          <w:lang w:val="en-GB"/>
        </w:rPr>
        <w:t>high</w:t>
      </w:r>
      <w:r w:rsidR="00717CB9">
        <w:rPr>
          <w:rFonts w:ascii="Garamond" w:hAnsi="Garamond" w:cs="Times New Roman"/>
          <w:lang w:val="en-GB"/>
        </w:rPr>
        <w:t xml:space="preserve"> </w:t>
      </w:r>
      <w:r w:rsidR="00657D99">
        <w:rPr>
          <w:rFonts w:ascii="Garamond" w:hAnsi="Garamond" w:cs="Times New Roman"/>
          <w:lang w:val="en-GB"/>
        </w:rPr>
        <w:t xml:space="preserve">levels of sector diversification, </w:t>
      </w:r>
      <w:r w:rsidR="007C5BF5">
        <w:rPr>
          <w:rFonts w:ascii="Garamond" w:hAnsi="Garamond" w:cs="Times New Roman"/>
          <w:lang w:val="en-GB"/>
        </w:rPr>
        <w:t>in the case of China</w:t>
      </w:r>
      <w:r w:rsidR="00517386">
        <w:rPr>
          <w:rFonts w:ascii="Garamond" w:hAnsi="Garamond" w:cs="Times New Roman"/>
          <w:lang w:val="en-GB"/>
        </w:rPr>
        <w:t xml:space="preserve">, </w:t>
      </w:r>
      <w:r w:rsidR="007C5BF5">
        <w:rPr>
          <w:rFonts w:ascii="Garamond" w:hAnsi="Garamond" w:cs="Times New Roman"/>
          <w:lang w:val="en-GB"/>
        </w:rPr>
        <w:t>of geographic diversification, in the case of India</w:t>
      </w:r>
      <w:r w:rsidR="00517386">
        <w:rPr>
          <w:rFonts w:ascii="Garamond" w:hAnsi="Garamond" w:cs="Times New Roman"/>
          <w:lang w:val="en-GB"/>
        </w:rPr>
        <w:t>. This clearly stands out when contrasting sector to country diversification measured as deviation</w:t>
      </w:r>
      <w:r w:rsidR="00F31389">
        <w:rPr>
          <w:rFonts w:ascii="Garamond" w:hAnsi="Garamond" w:cs="Times New Roman"/>
          <w:lang w:val="en-GB"/>
        </w:rPr>
        <w:t>s</w:t>
      </w:r>
      <w:r w:rsidR="00517386">
        <w:rPr>
          <w:rFonts w:ascii="Garamond" w:hAnsi="Garamond" w:cs="Times New Roman"/>
          <w:lang w:val="en-GB"/>
        </w:rPr>
        <w:t xml:space="preserve"> from the mean (Figures 3 and 4).</w:t>
      </w:r>
    </w:p>
    <w:p w14:paraId="3B263A7B" w14:textId="77777777" w:rsidR="008F4C20" w:rsidRPr="00517386" w:rsidRDefault="008F4C20" w:rsidP="008F4C20">
      <w:pPr>
        <w:autoSpaceDE w:val="0"/>
        <w:autoSpaceDN w:val="0"/>
        <w:adjustRightInd w:val="0"/>
        <w:spacing w:after="0" w:line="360" w:lineRule="auto"/>
        <w:ind w:right="-7"/>
        <w:jc w:val="both"/>
        <w:rPr>
          <w:rFonts w:ascii="Garamond" w:hAnsi="Garamond" w:cs="Times New Roman"/>
          <w:lang w:val="en-GB"/>
        </w:rPr>
      </w:pPr>
      <w:r w:rsidRPr="00517386">
        <w:rPr>
          <w:rFonts w:ascii="Garamond" w:hAnsi="Garamond" w:cs="Times New Roman"/>
          <w:lang w:val="en-GB"/>
        </w:rPr>
        <w:t xml:space="preserve">Among the </w:t>
      </w:r>
      <w:r>
        <w:rPr>
          <w:rFonts w:ascii="Garamond" w:hAnsi="Garamond" w:cs="Times New Roman"/>
          <w:lang w:val="en-GB"/>
        </w:rPr>
        <w:t xml:space="preserve">most country-wise internationalised BGs from China: Huawei, ZTE, ICBC, Bank of China, while ChemChi is a case of a more balanced diversified groups in terms of sectors and countries, at least in Europe. Among Indian BGs, Tata, Mahindra Group and Reliance stand out as the most diversified across both sectors and countries, and among the others, to a minor extent Moser Baer, GMR Group, Wipro and Value Point System. </w:t>
      </w:r>
    </w:p>
    <w:p w14:paraId="640B0AC0" w14:textId="77777777" w:rsidR="00FA161F" w:rsidRDefault="00FA161F" w:rsidP="00AA4DFC">
      <w:pPr>
        <w:spacing w:after="0" w:line="360" w:lineRule="auto"/>
        <w:jc w:val="center"/>
        <w:rPr>
          <w:rFonts w:ascii="Garamond" w:hAnsi="Garamond" w:cs="Times New Roman"/>
          <w:b/>
          <w:sz w:val="16"/>
          <w:szCs w:val="16"/>
          <w:lang w:val="en-GB"/>
        </w:rPr>
      </w:pPr>
    </w:p>
    <w:p w14:paraId="16A84E42" w14:textId="77777777" w:rsidR="00FA161F" w:rsidRDefault="00FA161F" w:rsidP="00AA4DFC">
      <w:pPr>
        <w:spacing w:after="0" w:line="360" w:lineRule="auto"/>
        <w:jc w:val="center"/>
        <w:rPr>
          <w:rFonts w:ascii="Garamond" w:hAnsi="Garamond" w:cs="Times New Roman"/>
          <w:b/>
          <w:sz w:val="16"/>
          <w:szCs w:val="16"/>
          <w:lang w:val="en-GB"/>
        </w:rPr>
      </w:pPr>
    </w:p>
    <w:p w14:paraId="68DF613C" w14:textId="2BC65426" w:rsidR="00C50BED" w:rsidRPr="00AA4DFC" w:rsidRDefault="00AA4DFC" w:rsidP="00AA4DFC">
      <w:pPr>
        <w:spacing w:after="0" w:line="360" w:lineRule="auto"/>
        <w:jc w:val="center"/>
        <w:rPr>
          <w:rFonts w:ascii="Garamond" w:hAnsi="Garamond" w:cs="Times New Roman"/>
          <w:b/>
          <w:sz w:val="16"/>
          <w:szCs w:val="16"/>
          <w:lang w:val="en-GB"/>
        </w:rPr>
      </w:pPr>
      <w:r w:rsidRPr="00AA4DFC">
        <w:rPr>
          <w:rFonts w:ascii="Garamond" w:hAnsi="Garamond" w:cs="Times New Roman"/>
          <w:b/>
          <w:sz w:val="16"/>
          <w:szCs w:val="16"/>
          <w:lang w:val="en-GB"/>
        </w:rPr>
        <w:t>Table 3 Basic statistics about sector and country presence of Chinese and Indian BGs in Europe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796"/>
        <w:gridCol w:w="726"/>
        <w:gridCol w:w="833"/>
        <w:gridCol w:w="726"/>
      </w:tblGrid>
      <w:tr w:rsidR="00AA4DFC" w:rsidRPr="00C50BED" w14:paraId="1342F8D8" w14:textId="77777777" w:rsidTr="00F46FCE">
        <w:trPr>
          <w:jc w:val="center"/>
        </w:trPr>
        <w:tc>
          <w:tcPr>
            <w:tcW w:w="1042" w:type="dxa"/>
          </w:tcPr>
          <w:p w14:paraId="11CA6E17" w14:textId="77777777" w:rsidR="00AA4DFC" w:rsidRPr="00C50BED" w:rsidRDefault="00AA4DFC" w:rsidP="00C50BED">
            <w:pPr>
              <w:jc w:val="both"/>
              <w:rPr>
                <w:rFonts w:ascii="Garamond" w:hAnsi="Garamond" w:cs="Times New Roman"/>
                <w:sz w:val="16"/>
                <w:szCs w:val="16"/>
                <w:lang w:val="en-GB"/>
              </w:rPr>
            </w:pPr>
          </w:p>
        </w:tc>
        <w:tc>
          <w:tcPr>
            <w:tcW w:w="1522" w:type="dxa"/>
            <w:gridSpan w:val="2"/>
          </w:tcPr>
          <w:p w14:paraId="55B98901" w14:textId="4C987E8A" w:rsidR="00AA4DFC" w:rsidRPr="00C50BED" w:rsidRDefault="00AA4DFC" w:rsidP="00AA4DFC">
            <w:pPr>
              <w:jc w:val="center"/>
              <w:rPr>
                <w:rFonts w:ascii="Garamond" w:hAnsi="Garamond" w:cs="Times New Roman"/>
                <w:sz w:val="16"/>
                <w:szCs w:val="16"/>
                <w:lang w:val="en-GB"/>
              </w:rPr>
            </w:pPr>
            <w:r>
              <w:rPr>
                <w:rFonts w:ascii="Garamond" w:hAnsi="Garamond" w:cs="Times New Roman"/>
                <w:sz w:val="16"/>
                <w:szCs w:val="16"/>
                <w:lang w:val="en-GB"/>
              </w:rPr>
              <w:t>Chinese BGs</w:t>
            </w:r>
          </w:p>
        </w:tc>
        <w:tc>
          <w:tcPr>
            <w:tcW w:w="1542" w:type="dxa"/>
            <w:gridSpan w:val="2"/>
          </w:tcPr>
          <w:p w14:paraId="5BEA15B5" w14:textId="113B5205" w:rsidR="00AA4DFC" w:rsidRPr="00C50BED" w:rsidRDefault="00AA4DFC" w:rsidP="00AA4DFC">
            <w:pPr>
              <w:jc w:val="center"/>
              <w:rPr>
                <w:rFonts w:ascii="Garamond" w:hAnsi="Garamond" w:cs="Times New Roman"/>
                <w:sz w:val="16"/>
                <w:szCs w:val="16"/>
                <w:lang w:val="en-GB"/>
              </w:rPr>
            </w:pPr>
            <w:r>
              <w:rPr>
                <w:rFonts w:ascii="Garamond" w:hAnsi="Garamond" w:cs="Times New Roman"/>
                <w:sz w:val="16"/>
                <w:szCs w:val="16"/>
                <w:lang w:val="en-GB"/>
              </w:rPr>
              <w:t>Indian BGs</w:t>
            </w:r>
          </w:p>
        </w:tc>
      </w:tr>
      <w:tr w:rsidR="00F46FCE" w:rsidRPr="00C50BED" w14:paraId="19192A46" w14:textId="77777777" w:rsidTr="00F46FCE">
        <w:trPr>
          <w:jc w:val="center"/>
        </w:trPr>
        <w:tc>
          <w:tcPr>
            <w:tcW w:w="1042" w:type="dxa"/>
          </w:tcPr>
          <w:p w14:paraId="0A11A914" w14:textId="77777777" w:rsidR="00F46FCE" w:rsidRPr="00C50BED" w:rsidRDefault="00F46FCE" w:rsidP="00F46FCE">
            <w:pPr>
              <w:jc w:val="both"/>
              <w:rPr>
                <w:rFonts w:ascii="Garamond" w:hAnsi="Garamond" w:cs="Times New Roman"/>
                <w:sz w:val="16"/>
                <w:szCs w:val="16"/>
                <w:lang w:val="en-GB"/>
              </w:rPr>
            </w:pPr>
          </w:p>
        </w:tc>
        <w:tc>
          <w:tcPr>
            <w:tcW w:w="796" w:type="dxa"/>
            <w:tcBorders>
              <w:bottom w:val="single" w:sz="4" w:space="0" w:color="auto"/>
            </w:tcBorders>
          </w:tcPr>
          <w:p w14:paraId="008B8CC4" w14:textId="76DB8E56" w:rsidR="00F46FCE" w:rsidRDefault="00F46FCE" w:rsidP="00F46FCE">
            <w:pPr>
              <w:jc w:val="right"/>
              <w:rPr>
                <w:rFonts w:ascii="Garamond" w:hAnsi="Garamond" w:cs="Times New Roman"/>
                <w:sz w:val="16"/>
                <w:szCs w:val="16"/>
                <w:lang w:val="en-GB"/>
              </w:rPr>
            </w:pPr>
            <w:r>
              <w:rPr>
                <w:rFonts w:ascii="Garamond" w:hAnsi="Garamond" w:cs="Times New Roman"/>
                <w:sz w:val="16"/>
                <w:szCs w:val="16"/>
                <w:lang w:val="en-GB"/>
              </w:rPr>
              <w:t>Sector</w:t>
            </w:r>
          </w:p>
        </w:tc>
        <w:tc>
          <w:tcPr>
            <w:tcW w:w="726" w:type="dxa"/>
            <w:tcBorders>
              <w:bottom w:val="single" w:sz="4" w:space="0" w:color="auto"/>
            </w:tcBorders>
          </w:tcPr>
          <w:p w14:paraId="629012CB" w14:textId="70EC293F" w:rsidR="00F46FCE" w:rsidRDefault="00F46FCE" w:rsidP="00F46FCE">
            <w:pPr>
              <w:jc w:val="right"/>
              <w:rPr>
                <w:rFonts w:ascii="Garamond" w:hAnsi="Garamond" w:cs="Times New Roman"/>
                <w:sz w:val="16"/>
                <w:szCs w:val="16"/>
                <w:lang w:val="en-GB"/>
              </w:rPr>
            </w:pPr>
            <w:r>
              <w:rPr>
                <w:rFonts w:ascii="Garamond" w:hAnsi="Garamond" w:cs="Times New Roman"/>
                <w:sz w:val="16"/>
                <w:szCs w:val="16"/>
                <w:lang w:val="en-GB"/>
              </w:rPr>
              <w:t>Country</w:t>
            </w:r>
          </w:p>
        </w:tc>
        <w:tc>
          <w:tcPr>
            <w:tcW w:w="833" w:type="dxa"/>
            <w:tcBorders>
              <w:bottom w:val="single" w:sz="4" w:space="0" w:color="auto"/>
            </w:tcBorders>
          </w:tcPr>
          <w:p w14:paraId="65CDC492" w14:textId="069F9E6A" w:rsidR="00F46FCE" w:rsidRDefault="00F46FCE" w:rsidP="00F46FCE">
            <w:pPr>
              <w:jc w:val="right"/>
              <w:rPr>
                <w:rFonts w:ascii="Garamond" w:hAnsi="Garamond" w:cs="Times New Roman"/>
                <w:sz w:val="16"/>
                <w:szCs w:val="16"/>
                <w:lang w:val="en-GB"/>
              </w:rPr>
            </w:pPr>
            <w:r>
              <w:rPr>
                <w:rFonts w:ascii="Garamond" w:hAnsi="Garamond" w:cs="Times New Roman"/>
                <w:sz w:val="16"/>
                <w:szCs w:val="16"/>
                <w:lang w:val="en-GB"/>
              </w:rPr>
              <w:t>Sector</w:t>
            </w:r>
          </w:p>
        </w:tc>
        <w:tc>
          <w:tcPr>
            <w:tcW w:w="709" w:type="dxa"/>
            <w:tcBorders>
              <w:bottom w:val="single" w:sz="4" w:space="0" w:color="auto"/>
            </w:tcBorders>
          </w:tcPr>
          <w:p w14:paraId="4C2DEE3B" w14:textId="348CF7F0" w:rsidR="00F46FCE" w:rsidRDefault="00F46FCE" w:rsidP="00F46FCE">
            <w:pPr>
              <w:jc w:val="right"/>
              <w:rPr>
                <w:rFonts w:ascii="Garamond" w:hAnsi="Garamond" w:cs="Times New Roman"/>
                <w:sz w:val="16"/>
                <w:szCs w:val="16"/>
                <w:lang w:val="en-GB"/>
              </w:rPr>
            </w:pPr>
            <w:r>
              <w:rPr>
                <w:rFonts w:ascii="Garamond" w:hAnsi="Garamond" w:cs="Times New Roman"/>
                <w:sz w:val="16"/>
                <w:szCs w:val="16"/>
                <w:lang w:val="en-GB"/>
              </w:rPr>
              <w:t>Country</w:t>
            </w:r>
          </w:p>
        </w:tc>
      </w:tr>
      <w:tr w:rsidR="00F46FCE" w:rsidRPr="00C50BED" w14:paraId="43D2A1DA" w14:textId="77777777" w:rsidTr="00F46FCE">
        <w:trPr>
          <w:jc w:val="center"/>
        </w:trPr>
        <w:tc>
          <w:tcPr>
            <w:tcW w:w="1042" w:type="dxa"/>
            <w:vAlign w:val="bottom"/>
          </w:tcPr>
          <w:p w14:paraId="0B5139E8" w14:textId="74E727DF" w:rsidR="00F46FCE" w:rsidRPr="00AA4DFC" w:rsidRDefault="00F46FCE" w:rsidP="00F46FCE">
            <w:pPr>
              <w:jc w:val="both"/>
              <w:rPr>
                <w:rFonts w:ascii="Garamond" w:hAnsi="Garamond" w:cs="Times New Roman"/>
                <w:sz w:val="16"/>
                <w:szCs w:val="16"/>
                <w:lang w:val="en-GB"/>
              </w:rPr>
            </w:pPr>
            <w:r w:rsidRPr="00AA4DFC">
              <w:rPr>
                <w:rFonts w:ascii="Garamond" w:hAnsi="Garamond" w:cs="Arial"/>
                <w:color w:val="000000"/>
                <w:sz w:val="16"/>
                <w:szCs w:val="16"/>
              </w:rPr>
              <w:t>min</w:t>
            </w:r>
          </w:p>
        </w:tc>
        <w:tc>
          <w:tcPr>
            <w:tcW w:w="796" w:type="dxa"/>
            <w:tcBorders>
              <w:top w:val="single" w:sz="4" w:space="0" w:color="auto"/>
            </w:tcBorders>
            <w:vAlign w:val="bottom"/>
          </w:tcPr>
          <w:p w14:paraId="46273F0A" w14:textId="27B027BB"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726" w:type="dxa"/>
            <w:tcBorders>
              <w:top w:val="single" w:sz="4" w:space="0" w:color="auto"/>
            </w:tcBorders>
            <w:vAlign w:val="bottom"/>
          </w:tcPr>
          <w:p w14:paraId="6AAA4097" w14:textId="565FE052"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833" w:type="dxa"/>
            <w:tcBorders>
              <w:top w:val="single" w:sz="4" w:space="0" w:color="auto"/>
            </w:tcBorders>
            <w:vAlign w:val="bottom"/>
          </w:tcPr>
          <w:p w14:paraId="207CD885" w14:textId="6913DE2A"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709" w:type="dxa"/>
            <w:tcBorders>
              <w:top w:val="single" w:sz="4" w:space="0" w:color="auto"/>
            </w:tcBorders>
            <w:vAlign w:val="bottom"/>
          </w:tcPr>
          <w:p w14:paraId="708B1CDD" w14:textId="1AF036FB"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r>
      <w:tr w:rsidR="00F46FCE" w:rsidRPr="00C50BED" w14:paraId="5E1B0F76" w14:textId="77777777" w:rsidTr="00F46FCE">
        <w:trPr>
          <w:jc w:val="center"/>
        </w:trPr>
        <w:tc>
          <w:tcPr>
            <w:tcW w:w="1042" w:type="dxa"/>
            <w:vAlign w:val="bottom"/>
          </w:tcPr>
          <w:p w14:paraId="02980CC1" w14:textId="234D94E5" w:rsidR="00F46FCE" w:rsidRPr="00AA4DFC" w:rsidRDefault="00F46FCE" w:rsidP="00F46FCE">
            <w:pPr>
              <w:jc w:val="both"/>
              <w:rPr>
                <w:rFonts w:ascii="Garamond" w:hAnsi="Garamond" w:cs="Times New Roman"/>
                <w:sz w:val="16"/>
                <w:szCs w:val="16"/>
                <w:lang w:val="en-GB"/>
              </w:rPr>
            </w:pPr>
            <w:r w:rsidRPr="00AA4DFC">
              <w:rPr>
                <w:rFonts w:ascii="Garamond" w:hAnsi="Garamond" w:cs="Arial"/>
                <w:color w:val="000000"/>
                <w:sz w:val="16"/>
                <w:szCs w:val="16"/>
              </w:rPr>
              <w:t>max</w:t>
            </w:r>
          </w:p>
        </w:tc>
        <w:tc>
          <w:tcPr>
            <w:tcW w:w="796" w:type="dxa"/>
            <w:vAlign w:val="bottom"/>
          </w:tcPr>
          <w:p w14:paraId="1E2DF273" w14:textId="418B441A"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5</w:t>
            </w:r>
            <w:r>
              <w:rPr>
                <w:rFonts w:ascii="Garamond" w:hAnsi="Garamond" w:cs="Arial"/>
                <w:color w:val="000000"/>
                <w:sz w:val="16"/>
                <w:szCs w:val="16"/>
              </w:rPr>
              <w:t>.</w:t>
            </w:r>
            <w:r w:rsidRPr="00AA4DFC">
              <w:rPr>
                <w:rFonts w:ascii="Garamond" w:hAnsi="Garamond" w:cs="Arial"/>
                <w:color w:val="000000"/>
                <w:sz w:val="16"/>
                <w:szCs w:val="16"/>
              </w:rPr>
              <w:t>00</w:t>
            </w:r>
          </w:p>
        </w:tc>
        <w:tc>
          <w:tcPr>
            <w:tcW w:w="726" w:type="dxa"/>
            <w:vAlign w:val="bottom"/>
          </w:tcPr>
          <w:p w14:paraId="63BAF14E" w14:textId="71FF1313"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15</w:t>
            </w:r>
            <w:r>
              <w:rPr>
                <w:rFonts w:ascii="Garamond" w:hAnsi="Garamond" w:cs="Arial"/>
                <w:color w:val="000000"/>
                <w:sz w:val="16"/>
                <w:szCs w:val="16"/>
              </w:rPr>
              <w:t>.</w:t>
            </w:r>
            <w:r w:rsidRPr="00AA4DFC">
              <w:rPr>
                <w:rFonts w:ascii="Garamond" w:hAnsi="Garamond" w:cs="Arial"/>
                <w:color w:val="000000"/>
                <w:sz w:val="16"/>
                <w:szCs w:val="16"/>
              </w:rPr>
              <w:t>00</w:t>
            </w:r>
          </w:p>
        </w:tc>
        <w:tc>
          <w:tcPr>
            <w:tcW w:w="833" w:type="dxa"/>
            <w:vAlign w:val="bottom"/>
          </w:tcPr>
          <w:p w14:paraId="15C831C7" w14:textId="472516B3"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13</w:t>
            </w:r>
            <w:r>
              <w:rPr>
                <w:rFonts w:ascii="Garamond" w:hAnsi="Garamond" w:cs="Arial"/>
                <w:color w:val="000000"/>
                <w:sz w:val="16"/>
                <w:szCs w:val="16"/>
              </w:rPr>
              <w:t>.</w:t>
            </w:r>
            <w:r w:rsidRPr="00AA4DFC">
              <w:rPr>
                <w:rFonts w:ascii="Garamond" w:hAnsi="Garamond" w:cs="Arial"/>
                <w:color w:val="000000"/>
                <w:sz w:val="16"/>
                <w:szCs w:val="16"/>
              </w:rPr>
              <w:t>00</w:t>
            </w:r>
          </w:p>
        </w:tc>
        <w:tc>
          <w:tcPr>
            <w:tcW w:w="709" w:type="dxa"/>
            <w:vAlign w:val="bottom"/>
          </w:tcPr>
          <w:p w14:paraId="3C2A5D1C" w14:textId="031CFC98"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13</w:t>
            </w:r>
            <w:r>
              <w:rPr>
                <w:rFonts w:ascii="Garamond" w:hAnsi="Garamond" w:cs="Arial"/>
                <w:color w:val="000000"/>
                <w:sz w:val="16"/>
                <w:szCs w:val="16"/>
              </w:rPr>
              <w:t>.</w:t>
            </w:r>
            <w:r w:rsidRPr="00AA4DFC">
              <w:rPr>
                <w:rFonts w:ascii="Garamond" w:hAnsi="Garamond" w:cs="Arial"/>
                <w:color w:val="000000"/>
                <w:sz w:val="16"/>
                <w:szCs w:val="16"/>
              </w:rPr>
              <w:t>00</w:t>
            </w:r>
          </w:p>
        </w:tc>
      </w:tr>
      <w:tr w:rsidR="00F46FCE" w:rsidRPr="00C50BED" w14:paraId="71E75A5D" w14:textId="77777777" w:rsidTr="00F46FCE">
        <w:trPr>
          <w:jc w:val="center"/>
        </w:trPr>
        <w:tc>
          <w:tcPr>
            <w:tcW w:w="1042" w:type="dxa"/>
            <w:vAlign w:val="bottom"/>
          </w:tcPr>
          <w:p w14:paraId="4F2CFD6E" w14:textId="2E05191A" w:rsidR="00F46FCE" w:rsidRPr="00AA4DFC" w:rsidRDefault="00F46FCE" w:rsidP="00F46FCE">
            <w:pPr>
              <w:jc w:val="both"/>
              <w:rPr>
                <w:rFonts w:ascii="Garamond" w:hAnsi="Garamond" w:cs="Times New Roman"/>
                <w:sz w:val="16"/>
                <w:szCs w:val="16"/>
                <w:lang w:val="en-GB"/>
              </w:rPr>
            </w:pPr>
            <w:r w:rsidRPr="00AA4DFC">
              <w:rPr>
                <w:rFonts w:ascii="Garamond" w:hAnsi="Garamond" w:cs="Arial"/>
                <w:color w:val="000000"/>
                <w:sz w:val="16"/>
                <w:szCs w:val="16"/>
              </w:rPr>
              <w:t>mean</w:t>
            </w:r>
          </w:p>
        </w:tc>
        <w:tc>
          <w:tcPr>
            <w:tcW w:w="796" w:type="dxa"/>
            <w:vAlign w:val="bottom"/>
          </w:tcPr>
          <w:p w14:paraId="0C033D74" w14:textId="14488B1F"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09</w:t>
            </w:r>
          </w:p>
        </w:tc>
        <w:tc>
          <w:tcPr>
            <w:tcW w:w="726" w:type="dxa"/>
            <w:vAlign w:val="bottom"/>
          </w:tcPr>
          <w:p w14:paraId="73595278" w14:textId="34FCF924"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29</w:t>
            </w:r>
          </w:p>
        </w:tc>
        <w:tc>
          <w:tcPr>
            <w:tcW w:w="833" w:type="dxa"/>
            <w:vAlign w:val="bottom"/>
          </w:tcPr>
          <w:p w14:paraId="44BDC2CD" w14:textId="4BAFAD96"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25</w:t>
            </w:r>
          </w:p>
        </w:tc>
        <w:tc>
          <w:tcPr>
            <w:tcW w:w="709" w:type="dxa"/>
            <w:vAlign w:val="bottom"/>
          </w:tcPr>
          <w:p w14:paraId="3EE6FA08" w14:textId="67C14B0A"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43</w:t>
            </w:r>
          </w:p>
        </w:tc>
      </w:tr>
      <w:tr w:rsidR="00F46FCE" w:rsidRPr="00C50BED" w14:paraId="68765DA0" w14:textId="77777777" w:rsidTr="00F46FCE">
        <w:trPr>
          <w:jc w:val="center"/>
        </w:trPr>
        <w:tc>
          <w:tcPr>
            <w:tcW w:w="1042" w:type="dxa"/>
            <w:vAlign w:val="bottom"/>
          </w:tcPr>
          <w:p w14:paraId="538287B0" w14:textId="4D84E3DC" w:rsidR="00F46FCE" w:rsidRPr="00AA4DFC" w:rsidRDefault="00F46FCE" w:rsidP="00F46FCE">
            <w:pPr>
              <w:jc w:val="both"/>
              <w:rPr>
                <w:rFonts w:ascii="Garamond" w:hAnsi="Garamond" w:cs="Times New Roman"/>
                <w:sz w:val="16"/>
                <w:szCs w:val="16"/>
                <w:lang w:val="en-GB"/>
              </w:rPr>
            </w:pPr>
            <w:r w:rsidRPr="00AA4DFC">
              <w:rPr>
                <w:rFonts w:ascii="Garamond" w:hAnsi="Garamond" w:cs="Arial"/>
                <w:color w:val="000000"/>
                <w:sz w:val="16"/>
                <w:szCs w:val="16"/>
              </w:rPr>
              <w:t>mode</w:t>
            </w:r>
          </w:p>
        </w:tc>
        <w:tc>
          <w:tcPr>
            <w:tcW w:w="796" w:type="dxa"/>
            <w:vAlign w:val="bottom"/>
          </w:tcPr>
          <w:p w14:paraId="519C45FA" w14:textId="35CA10C9"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726" w:type="dxa"/>
            <w:vAlign w:val="bottom"/>
          </w:tcPr>
          <w:p w14:paraId="733555E5" w14:textId="34B72A18"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833" w:type="dxa"/>
            <w:vAlign w:val="bottom"/>
          </w:tcPr>
          <w:p w14:paraId="602D165E" w14:textId="537533A8"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709" w:type="dxa"/>
            <w:vAlign w:val="bottom"/>
          </w:tcPr>
          <w:p w14:paraId="3CC00ECE" w14:textId="395A60FE"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r>
      <w:tr w:rsidR="00F46FCE" w:rsidRPr="00C50BED" w14:paraId="22190356" w14:textId="77777777" w:rsidTr="00F46FCE">
        <w:trPr>
          <w:jc w:val="center"/>
        </w:trPr>
        <w:tc>
          <w:tcPr>
            <w:tcW w:w="1042" w:type="dxa"/>
            <w:vAlign w:val="bottom"/>
          </w:tcPr>
          <w:p w14:paraId="1FF2C25B" w14:textId="24662772" w:rsidR="00F46FCE" w:rsidRPr="00AA4DFC" w:rsidRDefault="00F46FCE" w:rsidP="00F46FCE">
            <w:pPr>
              <w:jc w:val="both"/>
              <w:rPr>
                <w:rFonts w:ascii="Garamond" w:hAnsi="Garamond" w:cs="Times New Roman"/>
                <w:sz w:val="16"/>
                <w:szCs w:val="16"/>
                <w:lang w:val="en-GB"/>
              </w:rPr>
            </w:pPr>
            <w:r w:rsidRPr="00AA4DFC">
              <w:rPr>
                <w:rFonts w:ascii="Garamond" w:hAnsi="Garamond" w:cs="Arial"/>
                <w:color w:val="000000"/>
                <w:sz w:val="16"/>
                <w:szCs w:val="16"/>
              </w:rPr>
              <w:t>median</w:t>
            </w:r>
          </w:p>
        </w:tc>
        <w:tc>
          <w:tcPr>
            <w:tcW w:w="796" w:type="dxa"/>
            <w:vAlign w:val="bottom"/>
          </w:tcPr>
          <w:p w14:paraId="3F16E0DE" w14:textId="6AFC5965"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726" w:type="dxa"/>
            <w:vAlign w:val="bottom"/>
          </w:tcPr>
          <w:p w14:paraId="6BBD8D3F" w14:textId="55F9E18F"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833" w:type="dxa"/>
            <w:vAlign w:val="bottom"/>
          </w:tcPr>
          <w:p w14:paraId="61E0999A" w14:textId="697FFF28"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c>
          <w:tcPr>
            <w:tcW w:w="709" w:type="dxa"/>
            <w:vAlign w:val="bottom"/>
          </w:tcPr>
          <w:p w14:paraId="0071A28F" w14:textId="5366B5F1" w:rsidR="00F46FCE" w:rsidRPr="00AA4DFC" w:rsidRDefault="00F46FCE" w:rsidP="00F46FCE">
            <w:pPr>
              <w:jc w:val="right"/>
              <w:rPr>
                <w:rFonts w:ascii="Garamond" w:hAnsi="Garamond" w:cs="Times New Roman"/>
                <w:sz w:val="16"/>
                <w:szCs w:val="16"/>
                <w:lang w:val="en-GB"/>
              </w:rPr>
            </w:pPr>
            <w:r w:rsidRPr="00AA4DFC">
              <w:rPr>
                <w:rFonts w:ascii="Garamond" w:hAnsi="Garamond" w:cs="Arial"/>
                <w:color w:val="000000"/>
                <w:sz w:val="16"/>
                <w:szCs w:val="16"/>
              </w:rPr>
              <w:t>1</w:t>
            </w:r>
            <w:r>
              <w:rPr>
                <w:rFonts w:ascii="Garamond" w:hAnsi="Garamond" w:cs="Arial"/>
                <w:color w:val="000000"/>
                <w:sz w:val="16"/>
                <w:szCs w:val="16"/>
              </w:rPr>
              <w:t>.</w:t>
            </w:r>
            <w:r w:rsidRPr="00AA4DFC">
              <w:rPr>
                <w:rFonts w:ascii="Garamond" w:hAnsi="Garamond" w:cs="Arial"/>
                <w:color w:val="000000"/>
                <w:sz w:val="16"/>
                <w:szCs w:val="16"/>
              </w:rPr>
              <w:t>00</w:t>
            </w:r>
          </w:p>
        </w:tc>
      </w:tr>
      <w:tr w:rsidR="00F46FCE" w:rsidRPr="00C50BED" w14:paraId="30EB4201" w14:textId="77777777" w:rsidTr="00F46FCE">
        <w:trPr>
          <w:jc w:val="center"/>
        </w:trPr>
        <w:tc>
          <w:tcPr>
            <w:tcW w:w="1042" w:type="dxa"/>
            <w:tcBorders>
              <w:bottom w:val="single" w:sz="4" w:space="0" w:color="auto"/>
            </w:tcBorders>
            <w:vAlign w:val="bottom"/>
          </w:tcPr>
          <w:p w14:paraId="34A1B300" w14:textId="379AC593" w:rsidR="00F46FCE" w:rsidRPr="00AA4DFC" w:rsidRDefault="00F46FCE" w:rsidP="00F46FCE">
            <w:pPr>
              <w:jc w:val="both"/>
              <w:rPr>
                <w:rFonts w:ascii="Garamond" w:hAnsi="Garamond" w:cs="Times New Roman"/>
                <w:sz w:val="16"/>
                <w:szCs w:val="16"/>
                <w:lang w:val="en-GB"/>
              </w:rPr>
            </w:pPr>
            <w:r w:rsidRPr="00F46FCE">
              <w:rPr>
                <w:rFonts w:ascii="Garamond" w:hAnsi="Garamond" w:cs="Arial"/>
                <w:color w:val="000000"/>
                <w:sz w:val="16"/>
                <w:szCs w:val="16"/>
                <w:lang w:val="en-US"/>
              </w:rPr>
              <w:t>std. dev.</w:t>
            </w:r>
          </w:p>
        </w:tc>
        <w:tc>
          <w:tcPr>
            <w:tcW w:w="796" w:type="dxa"/>
            <w:tcBorders>
              <w:bottom w:val="single" w:sz="4" w:space="0" w:color="auto"/>
            </w:tcBorders>
            <w:vAlign w:val="bottom"/>
          </w:tcPr>
          <w:p w14:paraId="3A5CE466" w14:textId="1AB2278E" w:rsidR="00F46FCE" w:rsidRPr="00AA4DFC" w:rsidRDefault="00F46FCE" w:rsidP="00F46FCE">
            <w:pPr>
              <w:jc w:val="right"/>
              <w:rPr>
                <w:rFonts w:ascii="Garamond" w:hAnsi="Garamond" w:cs="Times New Roman"/>
                <w:sz w:val="16"/>
                <w:szCs w:val="16"/>
                <w:lang w:val="en-GB"/>
              </w:rPr>
            </w:pPr>
            <w:r w:rsidRPr="00F46FCE">
              <w:rPr>
                <w:rFonts w:ascii="Garamond" w:hAnsi="Garamond" w:cs="Arial"/>
                <w:color w:val="000000"/>
                <w:sz w:val="16"/>
                <w:szCs w:val="16"/>
                <w:lang w:val="en-US"/>
              </w:rPr>
              <w:t>0</w:t>
            </w:r>
            <w:r>
              <w:rPr>
                <w:rFonts w:ascii="Garamond" w:hAnsi="Garamond" w:cs="Arial"/>
                <w:color w:val="000000"/>
                <w:sz w:val="16"/>
                <w:szCs w:val="16"/>
                <w:lang w:val="en-US"/>
              </w:rPr>
              <w:t>.</w:t>
            </w:r>
            <w:r w:rsidRPr="00F46FCE">
              <w:rPr>
                <w:rFonts w:ascii="Garamond" w:hAnsi="Garamond" w:cs="Arial"/>
                <w:color w:val="000000"/>
                <w:sz w:val="16"/>
                <w:szCs w:val="16"/>
                <w:lang w:val="en-US"/>
              </w:rPr>
              <w:t>35</w:t>
            </w:r>
          </w:p>
        </w:tc>
        <w:tc>
          <w:tcPr>
            <w:tcW w:w="726" w:type="dxa"/>
            <w:tcBorders>
              <w:bottom w:val="single" w:sz="4" w:space="0" w:color="auto"/>
            </w:tcBorders>
            <w:vAlign w:val="bottom"/>
          </w:tcPr>
          <w:p w14:paraId="18B2F3A3" w14:textId="18ED331F" w:rsidR="00F46FCE" w:rsidRPr="00AA4DFC" w:rsidRDefault="00F46FCE" w:rsidP="00F46FCE">
            <w:pPr>
              <w:jc w:val="right"/>
              <w:rPr>
                <w:rFonts w:ascii="Garamond" w:hAnsi="Garamond" w:cs="Times New Roman"/>
                <w:sz w:val="16"/>
                <w:szCs w:val="16"/>
                <w:lang w:val="en-GB"/>
              </w:rPr>
            </w:pPr>
            <w:r w:rsidRPr="00F46FCE">
              <w:rPr>
                <w:rFonts w:ascii="Garamond" w:hAnsi="Garamond" w:cs="Arial"/>
                <w:color w:val="000000"/>
                <w:sz w:val="16"/>
                <w:szCs w:val="16"/>
                <w:lang w:val="en-US"/>
              </w:rPr>
              <w:t>1</w:t>
            </w:r>
            <w:r>
              <w:rPr>
                <w:rFonts w:ascii="Garamond" w:hAnsi="Garamond" w:cs="Arial"/>
                <w:color w:val="000000"/>
                <w:sz w:val="16"/>
                <w:szCs w:val="16"/>
                <w:lang w:val="en-US"/>
              </w:rPr>
              <w:t>.</w:t>
            </w:r>
            <w:r w:rsidRPr="00F46FCE">
              <w:rPr>
                <w:rFonts w:ascii="Garamond" w:hAnsi="Garamond" w:cs="Arial"/>
                <w:color w:val="000000"/>
                <w:sz w:val="16"/>
                <w:szCs w:val="16"/>
                <w:lang w:val="en-US"/>
              </w:rPr>
              <w:t>11</w:t>
            </w:r>
          </w:p>
        </w:tc>
        <w:tc>
          <w:tcPr>
            <w:tcW w:w="833" w:type="dxa"/>
            <w:tcBorders>
              <w:bottom w:val="single" w:sz="4" w:space="0" w:color="auto"/>
            </w:tcBorders>
            <w:vAlign w:val="bottom"/>
          </w:tcPr>
          <w:p w14:paraId="24397674" w14:textId="45A2F6B5" w:rsidR="00F46FCE" w:rsidRPr="00AA4DFC" w:rsidRDefault="00F46FCE" w:rsidP="00F46FCE">
            <w:pPr>
              <w:jc w:val="right"/>
              <w:rPr>
                <w:rFonts w:ascii="Garamond" w:hAnsi="Garamond" w:cs="Times New Roman"/>
                <w:sz w:val="16"/>
                <w:szCs w:val="16"/>
                <w:lang w:val="en-GB"/>
              </w:rPr>
            </w:pPr>
            <w:r w:rsidRPr="00F46FCE">
              <w:rPr>
                <w:rFonts w:ascii="Garamond" w:hAnsi="Garamond" w:cs="Arial"/>
                <w:color w:val="000000"/>
                <w:sz w:val="16"/>
                <w:szCs w:val="16"/>
                <w:lang w:val="en-US"/>
              </w:rPr>
              <w:t>0</w:t>
            </w:r>
            <w:r>
              <w:rPr>
                <w:rFonts w:ascii="Garamond" w:hAnsi="Garamond" w:cs="Arial"/>
                <w:color w:val="000000"/>
                <w:sz w:val="16"/>
                <w:szCs w:val="16"/>
                <w:lang w:val="en-US"/>
              </w:rPr>
              <w:t>.</w:t>
            </w:r>
            <w:r w:rsidRPr="00F46FCE">
              <w:rPr>
                <w:rFonts w:ascii="Garamond" w:hAnsi="Garamond" w:cs="Arial"/>
                <w:color w:val="000000"/>
                <w:sz w:val="16"/>
                <w:szCs w:val="16"/>
                <w:lang w:val="en-US"/>
              </w:rPr>
              <w:t>93</w:t>
            </w:r>
          </w:p>
        </w:tc>
        <w:tc>
          <w:tcPr>
            <w:tcW w:w="709" w:type="dxa"/>
            <w:tcBorders>
              <w:bottom w:val="single" w:sz="4" w:space="0" w:color="auto"/>
            </w:tcBorders>
            <w:vAlign w:val="bottom"/>
          </w:tcPr>
          <w:p w14:paraId="4B82097F" w14:textId="6BE00E88" w:rsidR="00F46FCE" w:rsidRPr="00AA4DFC" w:rsidRDefault="00F46FCE" w:rsidP="00F46FCE">
            <w:pPr>
              <w:jc w:val="right"/>
              <w:rPr>
                <w:rFonts w:ascii="Garamond" w:hAnsi="Garamond" w:cs="Times New Roman"/>
                <w:sz w:val="16"/>
                <w:szCs w:val="16"/>
                <w:lang w:val="en-GB"/>
              </w:rPr>
            </w:pPr>
            <w:r w:rsidRPr="00F46FCE">
              <w:rPr>
                <w:rFonts w:ascii="Garamond" w:hAnsi="Garamond" w:cs="Arial"/>
                <w:color w:val="000000"/>
                <w:sz w:val="16"/>
                <w:szCs w:val="16"/>
                <w:lang w:val="en-US"/>
              </w:rPr>
              <w:t>1</w:t>
            </w:r>
            <w:r>
              <w:rPr>
                <w:rFonts w:ascii="Garamond" w:hAnsi="Garamond" w:cs="Arial"/>
                <w:color w:val="000000"/>
                <w:sz w:val="16"/>
                <w:szCs w:val="16"/>
                <w:lang w:val="en-US"/>
              </w:rPr>
              <w:t>.</w:t>
            </w:r>
            <w:r w:rsidRPr="00F46FCE">
              <w:rPr>
                <w:rFonts w:ascii="Garamond" w:hAnsi="Garamond" w:cs="Arial"/>
                <w:color w:val="000000"/>
                <w:sz w:val="16"/>
                <w:szCs w:val="16"/>
                <w:lang w:val="en-US"/>
              </w:rPr>
              <w:t>11</w:t>
            </w:r>
          </w:p>
        </w:tc>
      </w:tr>
    </w:tbl>
    <w:p w14:paraId="74D827DF" w14:textId="77777777" w:rsidR="00F46FCE" w:rsidRPr="009C01EC" w:rsidRDefault="00F46FCE" w:rsidP="00F46FCE">
      <w:pPr>
        <w:autoSpaceDE w:val="0"/>
        <w:autoSpaceDN w:val="0"/>
        <w:adjustRightInd w:val="0"/>
        <w:spacing w:after="0" w:line="360" w:lineRule="auto"/>
        <w:ind w:right="-7"/>
        <w:jc w:val="center"/>
        <w:rPr>
          <w:rFonts w:ascii="Garamond" w:hAnsi="Garamond" w:cs="Times New Roman"/>
          <w:sz w:val="16"/>
          <w:szCs w:val="16"/>
          <w:lang w:val="en-GB"/>
        </w:rPr>
      </w:pPr>
      <w:r w:rsidRPr="009C01EC">
        <w:rPr>
          <w:rFonts w:ascii="Garamond" w:hAnsi="Garamond" w:cs="Times New Roman"/>
          <w:sz w:val="16"/>
          <w:szCs w:val="16"/>
          <w:lang w:val="en-GB"/>
        </w:rPr>
        <w:t>Source: authors’ elaboration on EMENDATA</w:t>
      </w:r>
    </w:p>
    <w:p w14:paraId="51CEF0AC" w14:textId="77777777" w:rsidR="00FA161F" w:rsidRDefault="00FA161F" w:rsidP="005077DC">
      <w:pPr>
        <w:autoSpaceDE w:val="0"/>
        <w:autoSpaceDN w:val="0"/>
        <w:adjustRightInd w:val="0"/>
        <w:spacing w:after="0" w:line="360" w:lineRule="auto"/>
        <w:ind w:right="-7"/>
        <w:jc w:val="center"/>
        <w:rPr>
          <w:rFonts w:ascii="Garamond" w:hAnsi="Garamond" w:cs="Times New Roman"/>
          <w:b/>
          <w:sz w:val="16"/>
          <w:szCs w:val="16"/>
          <w:lang w:val="en-GB"/>
        </w:rPr>
      </w:pPr>
    </w:p>
    <w:p w14:paraId="0AF3E741" w14:textId="77777777" w:rsidR="00FA161F" w:rsidRDefault="00FA161F" w:rsidP="005077DC">
      <w:pPr>
        <w:autoSpaceDE w:val="0"/>
        <w:autoSpaceDN w:val="0"/>
        <w:adjustRightInd w:val="0"/>
        <w:spacing w:after="0" w:line="360" w:lineRule="auto"/>
        <w:ind w:right="-7"/>
        <w:jc w:val="center"/>
        <w:rPr>
          <w:rFonts w:ascii="Garamond" w:hAnsi="Garamond" w:cs="Times New Roman"/>
          <w:b/>
          <w:sz w:val="16"/>
          <w:szCs w:val="16"/>
          <w:lang w:val="en-GB"/>
        </w:rPr>
      </w:pPr>
    </w:p>
    <w:p w14:paraId="49FB6A40" w14:textId="77777777" w:rsidR="00FA161F" w:rsidRDefault="00FA161F" w:rsidP="005077DC">
      <w:pPr>
        <w:autoSpaceDE w:val="0"/>
        <w:autoSpaceDN w:val="0"/>
        <w:adjustRightInd w:val="0"/>
        <w:spacing w:after="0" w:line="360" w:lineRule="auto"/>
        <w:ind w:right="-7"/>
        <w:jc w:val="center"/>
        <w:rPr>
          <w:rFonts w:ascii="Garamond" w:hAnsi="Garamond" w:cs="Times New Roman"/>
          <w:b/>
          <w:sz w:val="16"/>
          <w:szCs w:val="16"/>
          <w:lang w:val="en-GB"/>
        </w:rPr>
      </w:pPr>
    </w:p>
    <w:p w14:paraId="4D27F796" w14:textId="77777777" w:rsidR="00FA161F" w:rsidRDefault="00FA161F" w:rsidP="005077DC">
      <w:pPr>
        <w:autoSpaceDE w:val="0"/>
        <w:autoSpaceDN w:val="0"/>
        <w:adjustRightInd w:val="0"/>
        <w:spacing w:after="0" w:line="360" w:lineRule="auto"/>
        <w:ind w:right="-7"/>
        <w:jc w:val="center"/>
        <w:rPr>
          <w:rFonts w:ascii="Garamond" w:hAnsi="Garamond" w:cs="Times New Roman"/>
          <w:b/>
          <w:sz w:val="16"/>
          <w:szCs w:val="16"/>
          <w:lang w:val="en-GB"/>
        </w:rPr>
      </w:pPr>
    </w:p>
    <w:p w14:paraId="11520345" w14:textId="77777777" w:rsidR="00FA161F" w:rsidRDefault="00FA161F" w:rsidP="005077DC">
      <w:pPr>
        <w:autoSpaceDE w:val="0"/>
        <w:autoSpaceDN w:val="0"/>
        <w:adjustRightInd w:val="0"/>
        <w:spacing w:after="0" w:line="360" w:lineRule="auto"/>
        <w:ind w:right="-7"/>
        <w:jc w:val="center"/>
        <w:rPr>
          <w:rFonts w:ascii="Garamond" w:hAnsi="Garamond" w:cs="Times New Roman"/>
          <w:b/>
          <w:sz w:val="16"/>
          <w:szCs w:val="16"/>
          <w:lang w:val="en-GB"/>
        </w:rPr>
      </w:pPr>
    </w:p>
    <w:p w14:paraId="12543660" w14:textId="77777777" w:rsidR="00FA161F" w:rsidRDefault="00FA161F" w:rsidP="005077DC">
      <w:pPr>
        <w:autoSpaceDE w:val="0"/>
        <w:autoSpaceDN w:val="0"/>
        <w:adjustRightInd w:val="0"/>
        <w:spacing w:after="0" w:line="360" w:lineRule="auto"/>
        <w:ind w:right="-7"/>
        <w:jc w:val="center"/>
        <w:rPr>
          <w:rFonts w:ascii="Garamond" w:hAnsi="Garamond" w:cs="Times New Roman"/>
          <w:b/>
          <w:sz w:val="16"/>
          <w:szCs w:val="16"/>
          <w:lang w:val="en-GB"/>
        </w:rPr>
      </w:pPr>
    </w:p>
    <w:p w14:paraId="54D27F9D" w14:textId="77777777" w:rsidR="00FA161F" w:rsidRDefault="00FA161F">
      <w:pPr>
        <w:rPr>
          <w:rFonts w:ascii="Garamond" w:hAnsi="Garamond" w:cs="Times New Roman"/>
          <w:b/>
          <w:sz w:val="16"/>
          <w:szCs w:val="16"/>
          <w:lang w:val="en-GB"/>
        </w:rPr>
      </w:pPr>
      <w:r>
        <w:rPr>
          <w:rFonts w:ascii="Garamond" w:hAnsi="Garamond" w:cs="Times New Roman"/>
          <w:b/>
          <w:sz w:val="16"/>
          <w:szCs w:val="16"/>
          <w:lang w:val="en-GB"/>
        </w:rPr>
        <w:br w:type="page"/>
      </w:r>
    </w:p>
    <w:p w14:paraId="4501BB0B" w14:textId="43B6BF37" w:rsidR="00320A10" w:rsidRPr="000604BD" w:rsidRDefault="008F4C20" w:rsidP="005077DC">
      <w:pPr>
        <w:autoSpaceDE w:val="0"/>
        <w:autoSpaceDN w:val="0"/>
        <w:adjustRightInd w:val="0"/>
        <w:spacing w:after="0" w:line="360" w:lineRule="auto"/>
        <w:ind w:right="-7"/>
        <w:jc w:val="center"/>
        <w:rPr>
          <w:rFonts w:ascii="Garamond" w:hAnsi="Garamond" w:cs="Times New Roman"/>
          <w:b/>
          <w:sz w:val="16"/>
          <w:szCs w:val="16"/>
          <w:lang w:val="en-GB"/>
        </w:rPr>
      </w:pPr>
      <w:r>
        <w:rPr>
          <w:rFonts w:ascii="Garamond" w:hAnsi="Garamond" w:cs="Times New Roman"/>
          <w:b/>
          <w:sz w:val="16"/>
          <w:szCs w:val="16"/>
          <w:lang w:val="en-GB"/>
        </w:rPr>
        <w:lastRenderedPageBreak/>
        <w:t>Fi</w:t>
      </w:r>
      <w:r w:rsidR="006D1D41">
        <w:rPr>
          <w:rFonts w:ascii="Garamond" w:hAnsi="Garamond" w:cs="Times New Roman"/>
          <w:b/>
          <w:sz w:val="16"/>
          <w:szCs w:val="16"/>
          <w:lang w:val="en-GB"/>
        </w:rPr>
        <w:t>gure</w:t>
      </w:r>
      <w:r w:rsidR="00113DB2" w:rsidRPr="000604BD">
        <w:rPr>
          <w:rFonts w:ascii="Garamond" w:hAnsi="Garamond" w:cs="Times New Roman"/>
          <w:b/>
          <w:sz w:val="16"/>
          <w:szCs w:val="16"/>
          <w:lang w:val="en-GB"/>
        </w:rPr>
        <w:t xml:space="preserve"> </w:t>
      </w:r>
      <w:r w:rsidR="00517386">
        <w:rPr>
          <w:rFonts w:ascii="Garamond" w:hAnsi="Garamond" w:cs="Times New Roman"/>
          <w:b/>
          <w:sz w:val="16"/>
          <w:szCs w:val="16"/>
          <w:lang w:val="en-GB"/>
        </w:rPr>
        <w:t>3</w:t>
      </w:r>
      <w:r w:rsidR="005077DC" w:rsidRPr="000604BD">
        <w:rPr>
          <w:rFonts w:ascii="Garamond" w:hAnsi="Garamond" w:cs="Times New Roman"/>
          <w:b/>
          <w:sz w:val="16"/>
          <w:szCs w:val="16"/>
          <w:lang w:val="en-GB"/>
        </w:rPr>
        <w:t xml:space="preserve"> Chinese BGs: sector and country spread</w:t>
      </w:r>
      <w:r w:rsidR="007C5BF5">
        <w:rPr>
          <w:rFonts w:ascii="Garamond" w:hAnsi="Garamond" w:cs="Times New Roman"/>
          <w:b/>
          <w:sz w:val="16"/>
          <w:szCs w:val="16"/>
          <w:lang w:val="en-GB"/>
        </w:rPr>
        <w:t>*</w:t>
      </w:r>
    </w:p>
    <w:p w14:paraId="30D81A67" w14:textId="4B41A248" w:rsidR="00320A10" w:rsidRPr="000604BD" w:rsidRDefault="005077DC" w:rsidP="00B60184">
      <w:pPr>
        <w:autoSpaceDE w:val="0"/>
        <w:autoSpaceDN w:val="0"/>
        <w:adjustRightInd w:val="0"/>
        <w:spacing w:after="0" w:line="360" w:lineRule="auto"/>
        <w:ind w:right="-7"/>
        <w:jc w:val="center"/>
        <w:rPr>
          <w:rFonts w:ascii="Garamond" w:hAnsi="Garamond" w:cs="Times New Roman"/>
          <w:lang w:val="en-GB"/>
        </w:rPr>
      </w:pPr>
      <w:r w:rsidRPr="000604BD">
        <w:rPr>
          <w:noProof/>
          <w:lang w:val="da-DK" w:eastAsia="da-DK"/>
        </w:rPr>
        <w:drawing>
          <wp:inline distT="0" distB="0" distL="0" distR="0" wp14:anchorId="2FFB71A2" wp14:editId="0544F831">
            <wp:extent cx="5498199" cy="3297555"/>
            <wp:effectExtent l="0" t="0" r="7620" b="1714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768406" w14:textId="6BB3B55D" w:rsidR="007C5BF5" w:rsidRDefault="007C5BF5" w:rsidP="006D1D41">
      <w:pPr>
        <w:autoSpaceDE w:val="0"/>
        <w:autoSpaceDN w:val="0"/>
        <w:adjustRightInd w:val="0"/>
        <w:spacing w:after="0" w:line="360" w:lineRule="auto"/>
        <w:ind w:right="-7"/>
        <w:jc w:val="center"/>
        <w:rPr>
          <w:rFonts w:ascii="Garamond" w:hAnsi="Garamond" w:cs="Times New Roman"/>
          <w:sz w:val="16"/>
          <w:szCs w:val="16"/>
          <w:lang w:val="en-GB"/>
        </w:rPr>
      </w:pPr>
      <w:r>
        <w:rPr>
          <w:rFonts w:ascii="Garamond" w:hAnsi="Garamond" w:cs="Times New Roman"/>
          <w:sz w:val="16"/>
          <w:szCs w:val="16"/>
          <w:lang w:val="en-GB"/>
        </w:rPr>
        <w:t>*deviation from the mean.</w:t>
      </w:r>
    </w:p>
    <w:p w14:paraId="15ED87EB" w14:textId="77777777" w:rsidR="006D1D41" w:rsidRPr="000604BD" w:rsidRDefault="006D1D41" w:rsidP="006D1D41">
      <w:pPr>
        <w:autoSpaceDE w:val="0"/>
        <w:autoSpaceDN w:val="0"/>
        <w:adjustRightInd w:val="0"/>
        <w:spacing w:after="0" w:line="360" w:lineRule="auto"/>
        <w:ind w:right="-7"/>
        <w:jc w:val="center"/>
        <w:rPr>
          <w:rFonts w:ascii="Garamond" w:hAnsi="Garamond" w:cs="Times New Roman"/>
          <w:lang w:val="en-GB"/>
        </w:rPr>
      </w:pPr>
      <w:r w:rsidRPr="009C01EC">
        <w:rPr>
          <w:rFonts w:ascii="Garamond" w:hAnsi="Garamond" w:cs="Times New Roman"/>
          <w:sz w:val="16"/>
          <w:szCs w:val="16"/>
          <w:lang w:val="en-GB"/>
        </w:rPr>
        <w:t>Source: authors’ elaboration on EMENDATA</w:t>
      </w:r>
    </w:p>
    <w:p w14:paraId="0A9BD040" w14:textId="35A2D1AA" w:rsidR="00113DB2" w:rsidRPr="000604BD" w:rsidRDefault="006D1D41" w:rsidP="005077DC">
      <w:pPr>
        <w:autoSpaceDE w:val="0"/>
        <w:autoSpaceDN w:val="0"/>
        <w:adjustRightInd w:val="0"/>
        <w:spacing w:after="0" w:line="360" w:lineRule="auto"/>
        <w:ind w:right="-7"/>
        <w:jc w:val="center"/>
        <w:rPr>
          <w:rFonts w:ascii="Garamond" w:hAnsi="Garamond" w:cs="Times New Roman"/>
          <w:b/>
          <w:sz w:val="16"/>
          <w:szCs w:val="16"/>
          <w:lang w:val="en-GB"/>
        </w:rPr>
      </w:pPr>
      <w:r>
        <w:rPr>
          <w:rFonts w:ascii="Garamond" w:hAnsi="Garamond" w:cs="Times New Roman"/>
          <w:b/>
          <w:sz w:val="16"/>
          <w:szCs w:val="16"/>
          <w:lang w:val="en-GB"/>
        </w:rPr>
        <w:t>Figure</w:t>
      </w:r>
      <w:r w:rsidR="00113DB2" w:rsidRPr="000604BD">
        <w:rPr>
          <w:rFonts w:ascii="Garamond" w:hAnsi="Garamond" w:cs="Times New Roman"/>
          <w:b/>
          <w:sz w:val="16"/>
          <w:szCs w:val="16"/>
          <w:lang w:val="en-GB"/>
        </w:rPr>
        <w:t xml:space="preserve"> </w:t>
      </w:r>
      <w:r w:rsidR="00517386">
        <w:rPr>
          <w:rFonts w:ascii="Garamond" w:hAnsi="Garamond" w:cs="Times New Roman"/>
          <w:b/>
          <w:sz w:val="16"/>
          <w:szCs w:val="16"/>
          <w:lang w:val="en-GB"/>
        </w:rPr>
        <w:t>4</w:t>
      </w:r>
      <w:r w:rsidR="005077DC" w:rsidRPr="000604BD">
        <w:rPr>
          <w:rFonts w:ascii="Garamond" w:hAnsi="Garamond" w:cs="Times New Roman"/>
          <w:b/>
          <w:sz w:val="16"/>
          <w:szCs w:val="16"/>
          <w:lang w:val="en-GB"/>
        </w:rPr>
        <w:t xml:space="preserve"> Indian BGs: sector and country spread</w:t>
      </w:r>
      <w:r w:rsidR="00517386">
        <w:rPr>
          <w:rFonts w:ascii="Garamond" w:hAnsi="Garamond" w:cs="Times New Roman"/>
          <w:b/>
          <w:sz w:val="16"/>
          <w:szCs w:val="16"/>
          <w:lang w:val="en-GB"/>
        </w:rPr>
        <w:t>*</w:t>
      </w:r>
    </w:p>
    <w:p w14:paraId="307AFFE0" w14:textId="20A690C2" w:rsidR="00003869" w:rsidRPr="000604BD" w:rsidRDefault="005077DC" w:rsidP="00B60184">
      <w:pPr>
        <w:autoSpaceDE w:val="0"/>
        <w:autoSpaceDN w:val="0"/>
        <w:adjustRightInd w:val="0"/>
        <w:spacing w:after="0" w:line="360" w:lineRule="auto"/>
        <w:ind w:right="-7"/>
        <w:jc w:val="center"/>
        <w:rPr>
          <w:rFonts w:ascii="Garamond" w:hAnsi="Garamond" w:cs="Times New Roman"/>
          <w:lang w:val="en-GB"/>
        </w:rPr>
      </w:pPr>
      <w:r w:rsidRPr="000604BD">
        <w:rPr>
          <w:noProof/>
          <w:sz w:val="16"/>
          <w:szCs w:val="16"/>
          <w:lang w:val="da-DK" w:eastAsia="da-DK"/>
        </w:rPr>
        <w:drawing>
          <wp:inline distT="0" distB="0" distL="0" distR="0" wp14:anchorId="310C19B3" wp14:editId="4C8B9B6D">
            <wp:extent cx="5716270" cy="3179753"/>
            <wp:effectExtent l="0" t="0" r="17780" b="190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B20D17" w14:textId="425241A5" w:rsidR="00517386" w:rsidRPr="00517386" w:rsidRDefault="00517386" w:rsidP="006D1D41">
      <w:pPr>
        <w:autoSpaceDE w:val="0"/>
        <w:autoSpaceDN w:val="0"/>
        <w:adjustRightInd w:val="0"/>
        <w:spacing w:after="0" w:line="360" w:lineRule="auto"/>
        <w:ind w:right="-7"/>
        <w:jc w:val="center"/>
        <w:rPr>
          <w:rFonts w:ascii="Garamond" w:hAnsi="Garamond" w:cs="Times New Roman"/>
          <w:sz w:val="16"/>
          <w:szCs w:val="16"/>
          <w:lang w:val="en-GB"/>
        </w:rPr>
      </w:pPr>
      <w:r w:rsidRPr="00517386">
        <w:rPr>
          <w:rFonts w:ascii="Garamond" w:hAnsi="Garamond" w:cs="Times New Roman"/>
          <w:sz w:val="16"/>
          <w:szCs w:val="16"/>
          <w:lang w:val="en-GB"/>
        </w:rPr>
        <w:t>*deviation from the mean</w:t>
      </w:r>
      <w:r>
        <w:rPr>
          <w:rFonts w:ascii="Garamond" w:hAnsi="Garamond" w:cs="Times New Roman"/>
          <w:sz w:val="16"/>
          <w:szCs w:val="16"/>
          <w:lang w:val="en-GB"/>
        </w:rPr>
        <w:t>.</w:t>
      </w:r>
      <w:r w:rsidR="006D1D41" w:rsidRPr="00517386">
        <w:rPr>
          <w:rFonts w:ascii="Garamond" w:hAnsi="Garamond" w:cs="Times New Roman"/>
          <w:sz w:val="16"/>
          <w:szCs w:val="16"/>
          <w:lang w:val="en-GB"/>
        </w:rPr>
        <w:tab/>
      </w:r>
    </w:p>
    <w:p w14:paraId="65057CCE" w14:textId="42AD014C" w:rsidR="006D1D41" w:rsidRPr="000604BD" w:rsidRDefault="006D1D41" w:rsidP="006D1D41">
      <w:pPr>
        <w:autoSpaceDE w:val="0"/>
        <w:autoSpaceDN w:val="0"/>
        <w:adjustRightInd w:val="0"/>
        <w:spacing w:after="0" w:line="360" w:lineRule="auto"/>
        <w:ind w:right="-7"/>
        <w:jc w:val="center"/>
        <w:rPr>
          <w:rFonts w:ascii="Garamond" w:hAnsi="Garamond" w:cs="Times New Roman"/>
          <w:lang w:val="en-GB"/>
        </w:rPr>
      </w:pPr>
      <w:r w:rsidRPr="009C01EC">
        <w:rPr>
          <w:rFonts w:ascii="Garamond" w:hAnsi="Garamond" w:cs="Times New Roman"/>
          <w:sz w:val="16"/>
          <w:szCs w:val="16"/>
          <w:lang w:val="en-GB"/>
        </w:rPr>
        <w:t>Source: authors’ elaboration on EMENDATA</w:t>
      </w:r>
    </w:p>
    <w:p w14:paraId="220C7EC3" w14:textId="77777777" w:rsidR="00FA161F" w:rsidRDefault="00FA161F">
      <w:pPr>
        <w:rPr>
          <w:rFonts w:ascii="Garamond" w:hAnsi="Garamond" w:cs="Times New Roman"/>
          <w:b/>
          <w:sz w:val="28"/>
          <w:szCs w:val="28"/>
          <w:lang w:val="en-GB"/>
        </w:rPr>
      </w:pPr>
      <w:r>
        <w:rPr>
          <w:rFonts w:ascii="Garamond" w:hAnsi="Garamond" w:cs="Times New Roman"/>
          <w:b/>
          <w:sz w:val="28"/>
          <w:szCs w:val="28"/>
          <w:lang w:val="en-GB"/>
        </w:rPr>
        <w:br w:type="page"/>
      </w:r>
    </w:p>
    <w:p w14:paraId="3617BF39" w14:textId="2A7693B0" w:rsidR="00622F91" w:rsidRPr="000604BD" w:rsidRDefault="00622F91" w:rsidP="00622F91">
      <w:pPr>
        <w:pStyle w:val="ListParagraph"/>
        <w:numPr>
          <w:ilvl w:val="0"/>
          <w:numId w:val="3"/>
        </w:numPr>
        <w:rPr>
          <w:rFonts w:ascii="Garamond" w:hAnsi="Garamond" w:cs="Times New Roman"/>
          <w:b/>
          <w:sz w:val="28"/>
          <w:szCs w:val="28"/>
          <w:lang w:val="en-GB"/>
        </w:rPr>
      </w:pPr>
      <w:r w:rsidRPr="000604BD">
        <w:rPr>
          <w:rFonts w:ascii="Garamond" w:hAnsi="Garamond" w:cs="Times New Roman"/>
          <w:b/>
          <w:sz w:val="28"/>
          <w:szCs w:val="28"/>
          <w:lang w:val="en-GB"/>
        </w:rPr>
        <w:lastRenderedPageBreak/>
        <w:t xml:space="preserve">Analysing the international expansion of </w:t>
      </w:r>
      <w:r w:rsidR="004F7116">
        <w:rPr>
          <w:rFonts w:ascii="Garamond" w:hAnsi="Garamond" w:cs="Times New Roman"/>
          <w:b/>
          <w:sz w:val="28"/>
          <w:szCs w:val="28"/>
          <w:lang w:val="en-GB"/>
        </w:rPr>
        <w:t xml:space="preserve">the </w:t>
      </w:r>
      <w:r w:rsidR="00BD57CA" w:rsidRPr="000604BD">
        <w:rPr>
          <w:rFonts w:ascii="Garamond" w:hAnsi="Garamond" w:cs="Times New Roman"/>
          <w:b/>
          <w:sz w:val="28"/>
          <w:szCs w:val="28"/>
          <w:lang w:val="en-GB"/>
        </w:rPr>
        <w:t xml:space="preserve">top </w:t>
      </w:r>
      <w:r w:rsidRPr="000604BD">
        <w:rPr>
          <w:rFonts w:ascii="Garamond" w:hAnsi="Garamond" w:cs="Times New Roman"/>
          <w:b/>
          <w:sz w:val="28"/>
          <w:szCs w:val="28"/>
          <w:lang w:val="en-GB"/>
        </w:rPr>
        <w:t xml:space="preserve">Chinese and Indian BGs </w:t>
      </w:r>
      <w:r w:rsidR="004F7116">
        <w:rPr>
          <w:rFonts w:ascii="Garamond" w:hAnsi="Garamond" w:cs="Times New Roman"/>
          <w:b/>
          <w:sz w:val="28"/>
          <w:szCs w:val="28"/>
          <w:lang w:val="en-GB"/>
        </w:rPr>
        <w:t xml:space="preserve">investing </w:t>
      </w:r>
      <w:r w:rsidRPr="000604BD">
        <w:rPr>
          <w:rFonts w:ascii="Garamond" w:hAnsi="Garamond" w:cs="Times New Roman"/>
          <w:b/>
          <w:sz w:val="28"/>
          <w:szCs w:val="28"/>
          <w:lang w:val="en-GB"/>
        </w:rPr>
        <w:t>in Europe</w:t>
      </w:r>
    </w:p>
    <w:p w14:paraId="44135E5C" w14:textId="77777777" w:rsidR="00622F91" w:rsidRPr="000604BD" w:rsidRDefault="00622F91" w:rsidP="00D87FFA">
      <w:pPr>
        <w:autoSpaceDE w:val="0"/>
        <w:autoSpaceDN w:val="0"/>
        <w:adjustRightInd w:val="0"/>
        <w:spacing w:after="0" w:line="360" w:lineRule="auto"/>
        <w:ind w:right="-7"/>
        <w:jc w:val="both"/>
        <w:rPr>
          <w:rFonts w:ascii="Garamond" w:hAnsi="Garamond" w:cs="Times New Roman"/>
          <w:lang w:val="en-GB"/>
        </w:rPr>
      </w:pPr>
    </w:p>
    <w:p w14:paraId="27EEFAC9" w14:textId="7A13A497" w:rsidR="00D87FFA" w:rsidRDefault="00E26CB5" w:rsidP="006729C6">
      <w:pPr>
        <w:autoSpaceDE w:val="0"/>
        <w:autoSpaceDN w:val="0"/>
        <w:adjustRightInd w:val="0"/>
        <w:spacing w:after="0" w:line="360" w:lineRule="auto"/>
        <w:ind w:right="-7"/>
        <w:jc w:val="both"/>
        <w:rPr>
          <w:rFonts w:ascii="Garamond" w:hAnsi="Garamond" w:cs="Times New Roman"/>
          <w:lang w:val="en-GB"/>
        </w:rPr>
      </w:pPr>
      <w:r>
        <w:rPr>
          <w:rFonts w:ascii="Garamond" w:hAnsi="Garamond" w:cs="Times New Roman"/>
          <w:lang w:val="en-GB"/>
        </w:rPr>
        <w:t xml:space="preserve">In this Section we focus on the top Chinese and Indian BGs investing in Europe, in terms of number of </w:t>
      </w:r>
      <w:r w:rsidR="00423F77">
        <w:rPr>
          <w:rFonts w:ascii="Garamond" w:hAnsi="Garamond" w:cs="Times New Roman"/>
          <w:lang w:val="en-GB"/>
        </w:rPr>
        <w:t xml:space="preserve">outward investments. </w:t>
      </w:r>
      <w:r w:rsidR="00D87FFA" w:rsidRPr="000604BD">
        <w:rPr>
          <w:rFonts w:ascii="Garamond" w:hAnsi="Garamond" w:cs="Times New Roman"/>
          <w:lang w:val="en-GB"/>
        </w:rPr>
        <w:t xml:space="preserve">Table </w:t>
      </w:r>
      <w:r w:rsidR="006729C6">
        <w:rPr>
          <w:rFonts w:ascii="Garamond" w:hAnsi="Garamond" w:cs="Times New Roman"/>
          <w:lang w:val="en-GB"/>
        </w:rPr>
        <w:t>4 shows basic s</w:t>
      </w:r>
      <w:r w:rsidR="006729C6" w:rsidRPr="000604BD">
        <w:rPr>
          <w:rFonts w:ascii="Garamond" w:hAnsi="Garamond" w:cs="Times New Roman"/>
          <w:lang w:val="en-GB"/>
        </w:rPr>
        <w:t xml:space="preserve">tatistics on FDI types by </w:t>
      </w:r>
      <w:r w:rsidR="004F7116" w:rsidRPr="000604BD">
        <w:rPr>
          <w:rFonts w:ascii="Garamond" w:hAnsi="Garamond" w:cs="Times New Roman"/>
          <w:lang w:val="en-GB"/>
        </w:rPr>
        <w:t xml:space="preserve">the top </w:t>
      </w:r>
      <w:r w:rsidR="006729C6" w:rsidRPr="000604BD">
        <w:rPr>
          <w:rFonts w:ascii="Garamond" w:hAnsi="Garamond" w:cs="Times New Roman"/>
          <w:lang w:val="en-GB"/>
        </w:rPr>
        <w:t>Chinese and Ind</w:t>
      </w:r>
      <w:r w:rsidR="006729C6">
        <w:rPr>
          <w:rFonts w:ascii="Garamond" w:hAnsi="Garamond" w:cs="Times New Roman"/>
          <w:lang w:val="en-GB"/>
        </w:rPr>
        <w:t>ian BGs</w:t>
      </w:r>
      <w:r w:rsidR="004F7116">
        <w:rPr>
          <w:rFonts w:ascii="Garamond" w:hAnsi="Garamond" w:cs="Times New Roman"/>
          <w:lang w:val="en-GB"/>
        </w:rPr>
        <w:t xml:space="preserve"> investing in EU27</w:t>
      </w:r>
      <w:r w:rsidR="00D87FFA" w:rsidRPr="000604BD">
        <w:rPr>
          <w:rFonts w:ascii="Garamond" w:hAnsi="Garamond" w:cs="Times New Roman"/>
          <w:lang w:val="en-GB"/>
        </w:rPr>
        <w:t xml:space="preserve"> between 20</w:t>
      </w:r>
      <w:r w:rsidR="004F7116">
        <w:rPr>
          <w:rFonts w:ascii="Garamond" w:hAnsi="Garamond" w:cs="Times New Roman"/>
          <w:lang w:val="en-GB"/>
        </w:rPr>
        <w:t>03 and 2011</w:t>
      </w:r>
      <w:r w:rsidR="00D87FFA" w:rsidRPr="000604BD">
        <w:rPr>
          <w:rFonts w:ascii="Garamond" w:hAnsi="Garamond" w:cs="Times New Roman"/>
          <w:lang w:val="en-GB"/>
        </w:rPr>
        <w:t xml:space="preserve">. </w:t>
      </w:r>
      <w:r w:rsidR="006729C6">
        <w:rPr>
          <w:rFonts w:ascii="Garamond" w:hAnsi="Garamond" w:cs="Times New Roman"/>
          <w:lang w:val="en-GB"/>
        </w:rPr>
        <w:t>When comparing China to India, f</w:t>
      </w:r>
      <w:r w:rsidR="00D87FFA" w:rsidRPr="000604BD">
        <w:rPr>
          <w:rFonts w:ascii="Garamond" w:hAnsi="Garamond" w:cs="Times New Roman"/>
          <w:lang w:val="en-GB"/>
        </w:rPr>
        <w:t xml:space="preserve">or Chinese investors, the most common mode of entry, regardless of the sector of specialization is by the establishment of new activities (greenfield). Only one group, </w:t>
      </w:r>
      <w:r w:rsidR="00D87FFA" w:rsidRPr="000604BD">
        <w:rPr>
          <w:rFonts w:ascii="Garamond" w:hAnsi="Garamond" w:cs="Times New Roman"/>
          <w:i/>
          <w:lang w:val="en-GB"/>
        </w:rPr>
        <w:t>ChemChina</w:t>
      </w:r>
      <w:r w:rsidR="00D87FFA" w:rsidRPr="000604BD">
        <w:rPr>
          <w:rFonts w:ascii="Garamond" w:hAnsi="Garamond" w:cs="Times New Roman"/>
          <w:lang w:val="en-GB"/>
        </w:rPr>
        <w:t>, has also been involved in a significant number of acquisitions.</w:t>
      </w:r>
      <w:r w:rsidR="006729C6">
        <w:rPr>
          <w:rFonts w:ascii="Garamond" w:hAnsi="Garamond" w:cs="Times New Roman"/>
          <w:lang w:val="en-GB"/>
        </w:rPr>
        <w:t xml:space="preserve"> </w:t>
      </w:r>
      <w:r w:rsidR="00D87FFA" w:rsidRPr="000604BD">
        <w:rPr>
          <w:rFonts w:ascii="Garamond" w:hAnsi="Garamond" w:cs="Times New Roman"/>
          <w:lang w:val="en-GB"/>
        </w:rPr>
        <w:t>Also for Indian investors greenfield is the most frequent entry mode; however, Indian BGs are much more involved in acquisitions, and in a couple of cases (Mahindra and Ranbaxy) the two modes have been equally chosen.</w:t>
      </w:r>
    </w:p>
    <w:p w14:paraId="2FDC2FB1" w14:textId="77777777" w:rsidR="00230B38" w:rsidRPr="000604BD" w:rsidRDefault="00230B38" w:rsidP="006729C6">
      <w:pPr>
        <w:autoSpaceDE w:val="0"/>
        <w:autoSpaceDN w:val="0"/>
        <w:adjustRightInd w:val="0"/>
        <w:spacing w:after="0" w:line="360" w:lineRule="auto"/>
        <w:ind w:right="-7"/>
        <w:jc w:val="both"/>
        <w:rPr>
          <w:rFonts w:ascii="Garamond" w:hAnsi="Garamond" w:cs="Times New Roman"/>
          <w:lang w:val="en-GB"/>
        </w:rPr>
      </w:pPr>
    </w:p>
    <w:p w14:paraId="25AF3B0F" w14:textId="74C90686" w:rsidR="00D87FFA" w:rsidRPr="006729C6" w:rsidRDefault="00D87FFA" w:rsidP="00D87FFA">
      <w:pPr>
        <w:spacing w:after="0"/>
        <w:jc w:val="center"/>
        <w:rPr>
          <w:rFonts w:ascii="Garamond" w:hAnsi="Garamond" w:cs="Times New Roman"/>
          <w:b/>
          <w:sz w:val="16"/>
          <w:szCs w:val="16"/>
          <w:lang w:val="en-GB"/>
        </w:rPr>
      </w:pPr>
      <w:r w:rsidRPr="006729C6">
        <w:rPr>
          <w:rFonts w:ascii="Garamond" w:hAnsi="Garamond" w:cs="Times New Roman"/>
          <w:b/>
          <w:sz w:val="16"/>
          <w:szCs w:val="16"/>
          <w:lang w:val="en-GB"/>
        </w:rPr>
        <w:t xml:space="preserve">Table </w:t>
      </w:r>
      <w:r w:rsidR="006729C6" w:rsidRPr="006729C6">
        <w:rPr>
          <w:rFonts w:ascii="Garamond" w:hAnsi="Garamond" w:cs="Times New Roman"/>
          <w:b/>
          <w:sz w:val="16"/>
          <w:szCs w:val="16"/>
          <w:lang w:val="en-GB"/>
        </w:rPr>
        <w:t>4</w:t>
      </w:r>
      <w:r w:rsidRPr="006729C6">
        <w:rPr>
          <w:rFonts w:ascii="Garamond" w:hAnsi="Garamond" w:cs="Times New Roman"/>
          <w:b/>
          <w:sz w:val="16"/>
          <w:szCs w:val="16"/>
          <w:lang w:val="en-GB"/>
        </w:rPr>
        <w:t xml:space="preserve"> Top ten Chinese and India</w:t>
      </w:r>
      <w:r w:rsidR="004F7116">
        <w:rPr>
          <w:rFonts w:ascii="Garamond" w:hAnsi="Garamond" w:cs="Times New Roman"/>
          <w:b/>
          <w:sz w:val="16"/>
          <w:szCs w:val="16"/>
          <w:lang w:val="en-GB"/>
        </w:rPr>
        <w:t xml:space="preserve">n business groups investing in </w:t>
      </w:r>
      <w:r w:rsidRPr="006729C6">
        <w:rPr>
          <w:rFonts w:ascii="Garamond" w:hAnsi="Garamond" w:cs="Times New Roman"/>
          <w:b/>
          <w:sz w:val="16"/>
          <w:szCs w:val="16"/>
          <w:lang w:val="en-GB"/>
        </w:rPr>
        <w:t>EU27, by deal type (2003-2011)</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9"/>
        <w:gridCol w:w="1235"/>
        <w:gridCol w:w="1417"/>
        <w:gridCol w:w="1134"/>
        <w:gridCol w:w="1983"/>
        <w:gridCol w:w="588"/>
        <w:gridCol w:w="804"/>
        <w:gridCol w:w="588"/>
      </w:tblGrid>
      <w:tr w:rsidR="00D87FFA" w:rsidRPr="000604BD" w14:paraId="05F7B9D2" w14:textId="77777777" w:rsidTr="003C62AB">
        <w:trPr>
          <w:trHeight w:val="170"/>
          <w:jc w:val="center"/>
        </w:trPr>
        <w:tc>
          <w:tcPr>
            <w:tcW w:w="1879" w:type="dxa"/>
            <w:shd w:val="clear" w:color="76933C" w:fill="A6A6A6"/>
            <w:vAlign w:val="bottom"/>
            <w:hideMark/>
          </w:tcPr>
          <w:p w14:paraId="4E7971BC" w14:textId="77777777" w:rsidR="00D87FFA" w:rsidRPr="000604BD" w:rsidRDefault="00D87FFA" w:rsidP="003C62AB">
            <w:pPr>
              <w:spacing w:after="0" w:line="240" w:lineRule="auto"/>
              <w:jc w:val="center"/>
              <w:rPr>
                <w:rFonts w:ascii="Garamond" w:eastAsia="Times New Roman" w:hAnsi="Garamond" w:cs="Times New Roman"/>
                <w:color w:val="FFFFFF"/>
                <w:sz w:val="16"/>
                <w:szCs w:val="16"/>
                <w:lang w:val="en-GB" w:eastAsia="it-IT"/>
              </w:rPr>
            </w:pPr>
            <w:r w:rsidRPr="000604BD">
              <w:rPr>
                <w:rFonts w:ascii="Garamond" w:eastAsia="Times New Roman" w:hAnsi="Garamond" w:cs="Times New Roman"/>
                <w:color w:val="FFFFFF"/>
                <w:sz w:val="16"/>
                <w:szCs w:val="16"/>
                <w:lang w:val="en-GB" w:eastAsia="it-IT"/>
              </w:rPr>
              <w:t>Chinese Group</w:t>
            </w:r>
          </w:p>
        </w:tc>
        <w:tc>
          <w:tcPr>
            <w:tcW w:w="1235" w:type="dxa"/>
            <w:shd w:val="clear" w:color="76933C" w:fill="A6A6A6"/>
            <w:vAlign w:val="bottom"/>
            <w:hideMark/>
          </w:tcPr>
          <w:p w14:paraId="240D177C"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 xml:space="preserve">Total </w:t>
            </w:r>
          </w:p>
        </w:tc>
        <w:tc>
          <w:tcPr>
            <w:tcW w:w="1417" w:type="dxa"/>
            <w:shd w:val="clear" w:color="76933C" w:fill="A6A6A6"/>
            <w:vAlign w:val="bottom"/>
            <w:hideMark/>
          </w:tcPr>
          <w:p w14:paraId="254AAFE3" w14:textId="77777777" w:rsidR="00D87FFA" w:rsidRPr="000604BD" w:rsidRDefault="00D87FFA" w:rsidP="003C62AB">
            <w:pPr>
              <w:spacing w:after="0" w:line="240" w:lineRule="auto"/>
              <w:jc w:val="center"/>
              <w:rPr>
                <w:rFonts w:ascii="Garamond" w:eastAsia="Times New Roman" w:hAnsi="Garamond" w:cs="Times New Roman"/>
                <w:color w:val="FFFFFF"/>
                <w:sz w:val="16"/>
                <w:szCs w:val="16"/>
                <w:lang w:val="en-GB" w:eastAsia="it-IT"/>
              </w:rPr>
            </w:pPr>
            <w:r w:rsidRPr="000604BD">
              <w:rPr>
                <w:rFonts w:ascii="Garamond" w:eastAsia="Times New Roman" w:hAnsi="Garamond" w:cs="Times New Roman"/>
                <w:color w:val="FFFFFF"/>
                <w:sz w:val="16"/>
                <w:szCs w:val="16"/>
                <w:lang w:val="en-GB" w:eastAsia="it-IT"/>
              </w:rPr>
              <w:t>Greenfield</w:t>
            </w:r>
          </w:p>
        </w:tc>
        <w:tc>
          <w:tcPr>
            <w:tcW w:w="1134" w:type="dxa"/>
            <w:shd w:val="clear" w:color="76933C" w:fill="A6A6A6"/>
            <w:vAlign w:val="bottom"/>
            <w:hideMark/>
          </w:tcPr>
          <w:p w14:paraId="3D4A6803" w14:textId="77777777" w:rsidR="00D87FFA" w:rsidRPr="000604BD" w:rsidRDefault="00D87FFA" w:rsidP="003C62AB">
            <w:pPr>
              <w:spacing w:after="0" w:line="240" w:lineRule="auto"/>
              <w:jc w:val="center"/>
              <w:rPr>
                <w:rFonts w:ascii="Garamond" w:eastAsia="Times New Roman" w:hAnsi="Garamond" w:cs="Times New Roman"/>
                <w:color w:val="FFFFFF"/>
                <w:sz w:val="16"/>
                <w:szCs w:val="16"/>
                <w:lang w:val="en-GB" w:eastAsia="it-IT"/>
              </w:rPr>
            </w:pPr>
            <w:r w:rsidRPr="000604BD">
              <w:rPr>
                <w:rFonts w:ascii="Garamond" w:eastAsia="Times New Roman" w:hAnsi="Garamond" w:cs="Times New Roman"/>
                <w:color w:val="FFFFFF"/>
                <w:sz w:val="16"/>
                <w:szCs w:val="16"/>
                <w:lang w:val="en-GB" w:eastAsia="it-IT"/>
              </w:rPr>
              <w:t>M&amp;A</w:t>
            </w:r>
          </w:p>
        </w:tc>
        <w:tc>
          <w:tcPr>
            <w:tcW w:w="1983" w:type="dxa"/>
            <w:shd w:val="clear" w:color="76933C" w:fill="A6A6A6"/>
            <w:vAlign w:val="bottom"/>
          </w:tcPr>
          <w:p w14:paraId="6A851F0B" w14:textId="77777777" w:rsidR="00D87FFA" w:rsidRPr="000604BD" w:rsidRDefault="00D87FFA" w:rsidP="003C62AB">
            <w:pPr>
              <w:spacing w:after="0" w:line="240" w:lineRule="auto"/>
              <w:jc w:val="center"/>
              <w:rPr>
                <w:rFonts w:ascii="Garamond" w:eastAsia="Times New Roman" w:hAnsi="Garamond" w:cs="Times New Roman"/>
                <w:color w:val="FFFFFF"/>
                <w:sz w:val="16"/>
                <w:szCs w:val="16"/>
                <w:lang w:val="en-GB" w:eastAsia="it-IT"/>
              </w:rPr>
            </w:pPr>
            <w:r w:rsidRPr="000604BD">
              <w:rPr>
                <w:rFonts w:ascii="Garamond" w:eastAsia="Times New Roman" w:hAnsi="Garamond" w:cs="Times New Roman"/>
                <w:color w:val="FFFFFF"/>
                <w:sz w:val="16"/>
                <w:szCs w:val="16"/>
                <w:lang w:val="en-GB" w:eastAsia="it-IT"/>
              </w:rPr>
              <w:t>Indian Group</w:t>
            </w:r>
          </w:p>
        </w:tc>
        <w:tc>
          <w:tcPr>
            <w:tcW w:w="588" w:type="dxa"/>
            <w:shd w:val="clear" w:color="76933C" w:fill="A6A6A6"/>
            <w:vAlign w:val="bottom"/>
          </w:tcPr>
          <w:p w14:paraId="1004CEAD"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 xml:space="preserve">Total </w:t>
            </w:r>
          </w:p>
        </w:tc>
        <w:tc>
          <w:tcPr>
            <w:tcW w:w="804" w:type="dxa"/>
            <w:shd w:val="clear" w:color="76933C" w:fill="A6A6A6"/>
            <w:vAlign w:val="bottom"/>
          </w:tcPr>
          <w:p w14:paraId="237988FC" w14:textId="77777777" w:rsidR="00D87FFA" w:rsidRPr="000604BD" w:rsidRDefault="00D87FFA" w:rsidP="003C62AB">
            <w:pPr>
              <w:spacing w:after="0" w:line="240" w:lineRule="auto"/>
              <w:jc w:val="center"/>
              <w:rPr>
                <w:rFonts w:ascii="Garamond" w:eastAsia="Times New Roman" w:hAnsi="Garamond" w:cs="Times New Roman"/>
                <w:color w:val="FFFFFF"/>
                <w:sz w:val="16"/>
                <w:szCs w:val="16"/>
                <w:lang w:val="en-GB" w:eastAsia="it-IT"/>
              </w:rPr>
            </w:pPr>
            <w:r w:rsidRPr="000604BD">
              <w:rPr>
                <w:rFonts w:ascii="Garamond" w:eastAsia="Times New Roman" w:hAnsi="Garamond" w:cs="Times New Roman"/>
                <w:color w:val="FFFFFF"/>
                <w:sz w:val="16"/>
                <w:szCs w:val="16"/>
                <w:lang w:val="en-GB" w:eastAsia="it-IT"/>
              </w:rPr>
              <w:t>Greenfield</w:t>
            </w:r>
          </w:p>
        </w:tc>
        <w:tc>
          <w:tcPr>
            <w:tcW w:w="588" w:type="dxa"/>
            <w:shd w:val="clear" w:color="76933C" w:fill="A6A6A6"/>
            <w:vAlign w:val="bottom"/>
          </w:tcPr>
          <w:p w14:paraId="0888DFA0" w14:textId="77777777" w:rsidR="00D87FFA" w:rsidRPr="000604BD" w:rsidRDefault="00D87FFA" w:rsidP="003C62AB">
            <w:pPr>
              <w:spacing w:after="0" w:line="240" w:lineRule="auto"/>
              <w:jc w:val="center"/>
              <w:rPr>
                <w:rFonts w:ascii="Garamond" w:eastAsia="Times New Roman" w:hAnsi="Garamond" w:cs="Times New Roman"/>
                <w:color w:val="FFFFFF"/>
                <w:sz w:val="16"/>
                <w:szCs w:val="16"/>
                <w:lang w:val="en-GB" w:eastAsia="it-IT"/>
              </w:rPr>
            </w:pPr>
            <w:r w:rsidRPr="000604BD">
              <w:rPr>
                <w:rFonts w:ascii="Garamond" w:eastAsia="Times New Roman" w:hAnsi="Garamond" w:cs="Times New Roman"/>
                <w:color w:val="FFFFFF"/>
                <w:sz w:val="16"/>
                <w:szCs w:val="16"/>
                <w:lang w:val="en-GB" w:eastAsia="it-IT"/>
              </w:rPr>
              <w:t>M&amp;A</w:t>
            </w:r>
          </w:p>
        </w:tc>
      </w:tr>
      <w:tr w:rsidR="00D87FFA" w:rsidRPr="000604BD" w14:paraId="37A43E59" w14:textId="77777777" w:rsidTr="003C62AB">
        <w:trPr>
          <w:trHeight w:val="170"/>
          <w:jc w:val="center"/>
        </w:trPr>
        <w:tc>
          <w:tcPr>
            <w:tcW w:w="1879" w:type="dxa"/>
            <w:shd w:val="clear" w:color="auto" w:fill="auto"/>
            <w:vAlign w:val="bottom"/>
            <w:hideMark/>
          </w:tcPr>
          <w:p w14:paraId="0BA065B7"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Huawei Technologies</w:t>
            </w:r>
          </w:p>
        </w:tc>
        <w:tc>
          <w:tcPr>
            <w:tcW w:w="1235" w:type="dxa"/>
            <w:shd w:val="clear" w:color="auto" w:fill="auto"/>
            <w:vAlign w:val="bottom"/>
            <w:hideMark/>
          </w:tcPr>
          <w:p w14:paraId="236AC857"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52</w:t>
            </w:r>
          </w:p>
        </w:tc>
        <w:tc>
          <w:tcPr>
            <w:tcW w:w="1417" w:type="dxa"/>
            <w:shd w:val="clear" w:color="auto" w:fill="auto"/>
            <w:vAlign w:val="bottom"/>
            <w:hideMark/>
          </w:tcPr>
          <w:p w14:paraId="5294878C"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52</w:t>
            </w:r>
          </w:p>
        </w:tc>
        <w:tc>
          <w:tcPr>
            <w:tcW w:w="1134" w:type="dxa"/>
            <w:shd w:val="clear" w:color="auto" w:fill="auto"/>
            <w:vAlign w:val="bottom"/>
            <w:hideMark/>
          </w:tcPr>
          <w:p w14:paraId="2720ECD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3529B111"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Tata Group</w:t>
            </w:r>
          </w:p>
        </w:tc>
        <w:tc>
          <w:tcPr>
            <w:tcW w:w="588" w:type="dxa"/>
            <w:vAlign w:val="center"/>
          </w:tcPr>
          <w:p w14:paraId="1B7ABA49"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71</w:t>
            </w:r>
          </w:p>
        </w:tc>
        <w:tc>
          <w:tcPr>
            <w:tcW w:w="804" w:type="dxa"/>
            <w:vAlign w:val="center"/>
          </w:tcPr>
          <w:p w14:paraId="4E494594"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62</w:t>
            </w:r>
          </w:p>
        </w:tc>
        <w:tc>
          <w:tcPr>
            <w:tcW w:w="588" w:type="dxa"/>
            <w:vAlign w:val="center"/>
          </w:tcPr>
          <w:p w14:paraId="6BFF2E68"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9</w:t>
            </w:r>
          </w:p>
        </w:tc>
      </w:tr>
      <w:tr w:rsidR="00D87FFA" w:rsidRPr="000604BD" w14:paraId="5D6295FF" w14:textId="77777777" w:rsidTr="003C62AB">
        <w:trPr>
          <w:trHeight w:val="170"/>
          <w:jc w:val="center"/>
        </w:trPr>
        <w:tc>
          <w:tcPr>
            <w:tcW w:w="1879" w:type="dxa"/>
            <w:shd w:val="clear" w:color="auto" w:fill="auto"/>
            <w:vAlign w:val="bottom"/>
            <w:hideMark/>
          </w:tcPr>
          <w:p w14:paraId="32F8ABD5"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ZTE</w:t>
            </w:r>
          </w:p>
        </w:tc>
        <w:tc>
          <w:tcPr>
            <w:tcW w:w="1235" w:type="dxa"/>
            <w:shd w:val="clear" w:color="auto" w:fill="auto"/>
            <w:vAlign w:val="bottom"/>
            <w:hideMark/>
          </w:tcPr>
          <w:p w14:paraId="08E4D982"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24</w:t>
            </w:r>
          </w:p>
        </w:tc>
        <w:tc>
          <w:tcPr>
            <w:tcW w:w="1417" w:type="dxa"/>
            <w:shd w:val="clear" w:color="auto" w:fill="auto"/>
            <w:vAlign w:val="bottom"/>
            <w:hideMark/>
          </w:tcPr>
          <w:p w14:paraId="4E78FC82"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24</w:t>
            </w:r>
          </w:p>
        </w:tc>
        <w:tc>
          <w:tcPr>
            <w:tcW w:w="1134" w:type="dxa"/>
            <w:shd w:val="clear" w:color="auto" w:fill="auto"/>
            <w:vAlign w:val="bottom"/>
            <w:hideMark/>
          </w:tcPr>
          <w:p w14:paraId="127BEE7B"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3778A3B3"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Mahindra Group</w:t>
            </w:r>
          </w:p>
        </w:tc>
        <w:tc>
          <w:tcPr>
            <w:tcW w:w="588" w:type="dxa"/>
            <w:vAlign w:val="center"/>
          </w:tcPr>
          <w:p w14:paraId="2A2CDAA7"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22</w:t>
            </w:r>
          </w:p>
        </w:tc>
        <w:tc>
          <w:tcPr>
            <w:tcW w:w="804" w:type="dxa"/>
            <w:vAlign w:val="center"/>
          </w:tcPr>
          <w:p w14:paraId="15CCFD3B"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11</w:t>
            </w:r>
          </w:p>
        </w:tc>
        <w:tc>
          <w:tcPr>
            <w:tcW w:w="588" w:type="dxa"/>
            <w:vAlign w:val="center"/>
          </w:tcPr>
          <w:p w14:paraId="741B7BA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11</w:t>
            </w:r>
          </w:p>
        </w:tc>
      </w:tr>
      <w:tr w:rsidR="00D87FFA" w:rsidRPr="000604BD" w14:paraId="4A49B5D5" w14:textId="77777777" w:rsidTr="003C62AB">
        <w:trPr>
          <w:trHeight w:val="170"/>
          <w:jc w:val="center"/>
        </w:trPr>
        <w:tc>
          <w:tcPr>
            <w:tcW w:w="1879" w:type="dxa"/>
            <w:shd w:val="clear" w:color="auto" w:fill="auto"/>
            <w:vAlign w:val="bottom"/>
            <w:hideMark/>
          </w:tcPr>
          <w:p w14:paraId="2A212EA1"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China National Chemical (ChemChina)</w:t>
            </w:r>
          </w:p>
        </w:tc>
        <w:tc>
          <w:tcPr>
            <w:tcW w:w="1235" w:type="dxa"/>
            <w:shd w:val="clear" w:color="auto" w:fill="auto"/>
            <w:vAlign w:val="bottom"/>
            <w:hideMark/>
          </w:tcPr>
          <w:p w14:paraId="5606ABE8"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22</w:t>
            </w:r>
          </w:p>
        </w:tc>
        <w:tc>
          <w:tcPr>
            <w:tcW w:w="1417" w:type="dxa"/>
            <w:shd w:val="clear" w:color="auto" w:fill="auto"/>
            <w:vAlign w:val="bottom"/>
            <w:hideMark/>
          </w:tcPr>
          <w:p w14:paraId="58FDBFD1"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13</w:t>
            </w:r>
          </w:p>
        </w:tc>
        <w:tc>
          <w:tcPr>
            <w:tcW w:w="1134" w:type="dxa"/>
            <w:shd w:val="clear" w:color="auto" w:fill="auto"/>
            <w:vAlign w:val="bottom"/>
            <w:hideMark/>
          </w:tcPr>
          <w:p w14:paraId="19B49B48"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9</w:t>
            </w:r>
          </w:p>
        </w:tc>
        <w:tc>
          <w:tcPr>
            <w:tcW w:w="1983" w:type="dxa"/>
            <w:vAlign w:val="center"/>
          </w:tcPr>
          <w:p w14:paraId="40B5D147"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Wipro</w:t>
            </w:r>
          </w:p>
        </w:tc>
        <w:tc>
          <w:tcPr>
            <w:tcW w:w="588" w:type="dxa"/>
            <w:vAlign w:val="center"/>
          </w:tcPr>
          <w:p w14:paraId="1A2A6C82"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20</w:t>
            </w:r>
          </w:p>
        </w:tc>
        <w:tc>
          <w:tcPr>
            <w:tcW w:w="804" w:type="dxa"/>
            <w:vAlign w:val="center"/>
          </w:tcPr>
          <w:p w14:paraId="6891774A"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15</w:t>
            </w:r>
          </w:p>
        </w:tc>
        <w:tc>
          <w:tcPr>
            <w:tcW w:w="588" w:type="dxa"/>
            <w:vAlign w:val="center"/>
          </w:tcPr>
          <w:p w14:paraId="2F9A3756"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5</w:t>
            </w:r>
          </w:p>
        </w:tc>
      </w:tr>
      <w:tr w:rsidR="00D87FFA" w:rsidRPr="000604BD" w14:paraId="3C1B3E7B" w14:textId="77777777" w:rsidTr="003C62AB">
        <w:trPr>
          <w:trHeight w:val="170"/>
          <w:jc w:val="center"/>
        </w:trPr>
        <w:tc>
          <w:tcPr>
            <w:tcW w:w="1879" w:type="dxa"/>
            <w:shd w:val="clear" w:color="auto" w:fill="auto"/>
            <w:vAlign w:val="bottom"/>
            <w:hideMark/>
          </w:tcPr>
          <w:p w14:paraId="08D1932F"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Industrial and Commercial Bank of China (ICBC)</w:t>
            </w:r>
          </w:p>
        </w:tc>
        <w:tc>
          <w:tcPr>
            <w:tcW w:w="1235" w:type="dxa"/>
            <w:shd w:val="clear" w:color="auto" w:fill="auto"/>
            <w:vAlign w:val="bottom"/>
            <w:hideMark/>
          </w:tcPr>
          <w:p w14:paraId="6B082DA4"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15</w:t>
            </w:r>
          </w:p>
        </w:tc>
        <w:tc>
          <w:tcPr>
            <w:tcW w:w="1417" w:type="dxa"/>
            <w:shd w:val="clear" w:color="auto" w:fill="auto"/>
            <w:vAlign w:val="bottom"/>
            <w:hideMark/>
          </w:tcPr>
          <w:p w14:paraId="33CBD5EE"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15</w:t>
            </w:r>
          </w:p>
        </w:tc>
        <w:tc>
          <w:tcPr>
            <w:tcW w:w="1134" w:type="dxa"/>
            <w:shd w:val="clear" w:color="auto" w:fill="auto"/>
            <w:vAlign w:val="bottom"/>
            <w:hideMark/>
          </w:tcPr>
          <w:p w14:paraId="2DDACDEC"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3E1AB4FF"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Reliance</w:t>
            </w:r>
          </w:p>
        </w:tc>
        <w:tc>
          <w:tcPr>
            <w:tcW w:w="588" w:type="dxa"/>
            <w:vAlign w:val="center"/>
          </w:tcPr>
          <w:p w14:paraId="219E6172"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16</w:t>
            </w:r>
          </w:p>
        </w:tc>
        <w:tc>
          <w:tcPr>
            <w:tcW w:w="804" w:type="dxa"/>
            <w:vAlign w:val="center"/>
          </w:tcPr>
          <w:p w14:paraId="540D1ED7"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10</w:t>
            </w:r>
          </w:p>
        </w:tc>
        <w:tc>
          <w:tcPr>
            <w:tcW w:w="588" w:type="dxa"/>
            <w:vAlign w:val="center"/>
          </w:tcPr>
          <w:p w14:paraId="1665027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6</w:t>
            </w:r>
          </w:p>
        </w:tc>
      </w:tr>
      <w:tr w:rsidR="00D87FFA" w:rsidRPr="000604BD" w14:paraId="092C5FF5" w14:textId="77777777" w:rsidTr="003C62AB">
        <w:trPr>
          <w:trHeight w:val="170"/>
          <w:jc w:val="center"/>
        </w:trPr>
        <w:tc>
          <w:tcPr>
            <w:tcW w:w="1879" w:type="dxa"/>
            <w:shd w:val="clear" w:color="auto" w:fill="auto"/>
            <w:vAlign w:val="bottom"/>
            <w:hideMark/>
          </w:tcPr>
          <w:p w14:paraId="7C38CC92"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Shanghai Automotive Industry Corporation (SAIC)</w:t>
            </w:r>
          </w:p>
        </w:tc>
        <w:tc>
          <w:tcPr>
            <w:tcW w:w="1235" w:type="dxa"/>
            <w:shd w:val="clear" w:color="auto" w:fill="auto"/>
            <w:vAlign w:val="bottom"/>
            <w:hideMark/>
          </w:tcPr>
          <w:p w14:paraId="2A0CFFB7"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11</w:t>
            </w:r>
          </w:p>
        </w:tc>
        <w:tc>
          <w:tcPr>
            <w:tcW w:w="1417" w:type="dxa"/>
            <w:shd w:val="clear" w:color="auto" w:fill="auto"/>
            <w:vAlign w:val="bottom"/>
            <w:hideMark/>
          </w:tcPr>
          <w:p w14:paraId="4FBAE0ED"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8</w:t>
            </w:r>
          </w:p>
        </w:tc>
        <w:tc>
          <w:tcPr>
            <w:tcW w:w="1134" w:type="dxa"/>
            <w:shd w:val="clear" w:color="auto" w:fill="auto"/>
            <w:vAlign w:val="bottom"/>
            <w:hideMark/>
          </w:tcPr>
          <w:p w14:paraId="4F53CEF2"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3</w:t>
            </w:r>
          </w:p>
        </w:tc>
        <w:tc>
          <w:tcPr>
            <w:tcW w:w="1983" w:type="dxa"/>
            <w:vAlign w:val="center"/>
          </w:tcPr>
          <w:p w14:paraId="5D36F48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State Bank of India (SBI)</w:t>
            </w:r>
          </w:p>
        </w:tc>
        <w:tc>
          <w:tcPr>
            <w:tcW w:w="588" w:type="dxa"/>
            <w:vAlign w:val="center"/>
          </w:tcPr>
          <w:p w14:paraId="204EC37E"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13</w:t>
            </w:r>
          </w:p>
        </w:tc>
        <w:tc>
          <w:tcPr>
            <w:tcW w:w="804" w:type="dxa"/>
            <w:vAlign w:val="center"/>
          </w:tcPr>
          <w:p w14:paraId="08AE8F52"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13</w:t>
            </w:r>
          </w:p>
        </w:tc>
        <w:tc>
          <w:tcPr>
            <w:tcW w:w="588" w:type="dxa"/>
            <w:vAlign w:val="center"/>
          </w:tcPr>
          <w:p w14:paraId="2BBCE866"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r>
      <w:tr w:rsidR="00D87FFA" w:rsidRPr="000604BD" w14:paraId="43CC2AD8" w14:textId="77777777" w:rsidTr="003C62AB">
        <w:trPr>
          <w:trHeight w:val="170"/>
          <w:jc w:val="center"/>
        </w:trPr>
        <w:tc>
          <w:tcPr>
            <w:tcW w:w="1879" w:type="dxa"/>
            <w:shd w:val="clear" w:color="auto" w:fill="auto"/>
            <w:vAlign w:val="bottom"/>
            <w:hideMark/>
          </w:tcPr>
          <w:p w14:paraId="0669F7C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Suntech Power Holdings</w:t>
            </w:r>
          </w:p>
        </w:tc>
        <w:tc>
          <w:tcPr>
            <w:tcW w:w="1235" w:type="dxa"/>
            <w:shd w:val="clear" w:color="auto" w:fill="auto"/>
            <w:vAlign w:val="bottom"/>
            <w:hideMark/>
          </w:tcPr>
          <w:p w14:paraId="2A5227A4"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10</w:t>
            </w:r>
          </w:p>
        </w:tc>
        <w:tc>
          <w:tcPr>
            <w:tcW w:w="1417" w:type="dxa"/>
            <w:shd w:val="clear" w:color="auto" w:fill="auto"/>
            <w:vAlign w:val="bottom"/>
            <w:hideMark/>
          </w:tcPr>
          <w:p w14:paraId="2CC77C78"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9</w:t>
            </w:r>
          </w:p>
        </w:tc>
        <w:tc>
          <w:tcPr>
            <w:tcW w:w="1134" w:type="dxa"/>
            <w:shd w:val="clear" w:color="auto" w:fill="auto"/>
            <w:vAlign w:val="bottom"/>
            <w:hideMark/>
          </w:tcPr>
          <w:p w14:paraId="7BFEE2C7"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w:t>
            </w:r>
          </w:p>
        </w:tc>
        <w:tc>
          <w:tcPr>
            <w:tcW w:w="1983" w:type="dxa"/>
            <w:vAlign w:val="center"/>
          </w:tcPr>
          <w:p w14:paraId="7C4EEEAA"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Suzlon Energy</w:t>
            </w:r>
          </w:p>
        </w:tc>
        <w:tc>
          <w:tcPr>
            <w:tcW w:w="588" w:type="dxa"/>
            <w:vAlign w:val="center"/>
          </w:tcPr>
          <w:p w14:paraId="7B26F20E"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12</w:t>
            </w:r>
          </w:p>
        </w:tc>
        <w:tc>
          <w:tcPr>
            <w:tcW w:w="804" w:type="dxa"/>
            <w:vAlign w:val="center"/>
          </w:tcPr>
          <w:p w14:paraId="2020FE7F"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8</w:t>
            </w:r>
          </w:p>
        </w:tc>
        <w:tc>
          <w:tcPr>
            <w:tcW w:w="588" w:type="dxa"/>
            <w:vAlign w:val="center"/>
          </w:tcPr>
          <w:p w14:paraId="2CD007E8"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4</w:t>
            </w:r>
          </w:p>
        </w:tc>
      </w:tr>
      <w:tr w:rsidR="00D87FFA" w:rsidRPr="000604BD" w14:paraId="04F372A8" w14:textId="77777777" w:rsidTr="003C62AB">
        <w:trPr>
          <w:trHeight w:val="170"/>
          <w:jc w:val="center"/>
        </w:trPr>
        <w:tc>
          <w:tcPr>
            <w:tcW w:w="1879" w:type="dxa"/>
            <w:shd w:val="clear" w:color="auto" w:fill="auto"/>
            <w:vAlign w:val="bottom"/>
            <w:hideMark/>
          </w:tcPr>
          <w:p w14:paraId="0A9478F6"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Bank of China</w:t>
            </w:r>
          </w:p>
        </w:tc>
        <w:tc>
          <w:tcPr>
            <w:tcW w:w="1235" w:type="dxa"/>
            <w:shd w:val="clear" w:color="auto" w:fill="auto"/>
            <w:vAlign w:val="bottom"/>
            <w:hideMark/>
          </w:tcPr>
          <w:p w14:paraId="7CF13CB2"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8</w:t>
            </w:r>
          </w:p>
        </w:tc>
        <w:tc>
          <w:tcPr>
            <w:tcW w:w="1417" w:type="dxa"/>
            <w:shd w:val="clear" w:color="auto" w:fill="auto"/>
            <w:vAlign w:val="bottom"/>
            <w:hideMark/>
          </w:tcPr>
          <w:p w14:paraId="4DB275DE"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8</w:t>
            </w:r>
          </w:p>
        </w:tc>
        <w:tc>
          <w:tcPr>
            <w:tcW w:w="1134" w:type="dxa"/>
            <w:shd w:val="clear" w:color="auto" w:fill="auto"/>
            <w:vAlign w:val="bottom"/>
            <w:hideMark/>
          </w:tcPr>
          <w:p w14:paraId="5260B391"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62D5AD6C"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ICICI Bank</w:t>
            </w:r>
          </w:p>
        </w:tc>
        <w:tc>
          <w:tcPr>
            <w:tcW w:w="588" w:type="dxa"/>
            <w:vAlign w:val="center"/>
          </w:tcPr>
          <w:p w14:paraId="3A6AE9B7"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11</w:t>
            </w:r>
          </w:p>
        </w:tc>
        <w:tc>
          <w:tcPr>
            <w:tcW w:w="804" w:type="dxa"/>
            <w:vAlign w:val="center"/>
          </w:tcPr>
          <w:p w14:paraId="3294F762"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11</w:t>
            </w:r>
          </w:p>
        </w:tc>
        <w:tc>
          <w:tcPr>
            <w:tcW w:w="588" w:type="dxa"/>
            <w:vAlign w:val="center"/>
          </w:tcPr>
          <w:p w14:paraId="17E345A4"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r>
      <w:tr w:rsidR="00D87FFA" w:rsidRPr="000604BD" w14:paraId="40221027" w14:textId="77777777" w:rsidTr="003C62AB">
        <w:trPr>
          <w:trHeight w:val="170"/>
          <w:jc w:val="center"/>
        </w:trPr>
        <w:tc>
          <w:tcPr>
            <w:tcW w:w="1879" w:type="dxa"/>
            <w:shd w:val="clear" w:color="auto" w:fill="auto"/>
            <w:vAlign w:val="bottom"/>
            <w:hideMark/>
          </w:tcPr>
          <w:p w14:paraId="0A8254DA"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YingKe</w:t>
            </w:r>
          </w:p>
        </w:tc>
        <w:tc>
          <w:tcPr>
            <w:tcW w:w="1235" w:type="dxa"/>
            <w:shd w:val="clear" w:color="auto" w:fill="auto"/>
            <w:vAlign w:val="bottom"/>
            <w:hideMark/>
          </w:tcPr>
          <w:p w14:paraId="44FDDD0D"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8</w:t>
            </w:r>
          </w:p>
        </w:tc>
        <w:tc>
          <w:tcPr>
            <w:tcW w:w="1417" w:type="dxa"/>
            <w:shd w:val="clear" w:color="auto" w:fill="auto"/>
            <w:vAlign w:val="bottom"/>
            <w:hideMark/>
          </w:tcPr>
          <w:p w14:paraId="5A161BDB"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8</w:t>
            </w:r>
          </w:p>
        </w:tc>
        <w:tc>
          <w:tcPr>
            <w:tcW w:w="1134" w:type="dxa"/>
            <w:shd w:val="clear" w:color="auto" w:fill="auto"/>
            <w:vAlign w:val="bottom"/>
            <w:hideMark/>
          </w:tcPr>
          <w:p w14:paraId="1D377C2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74A189C0"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Infosys Technologies</w:t>
            </w:r>
          </w:p>
        </w:tc>
        <w:tc>
          <w:tcPr>
            <w:tcW w:w="588" w:type="dxa"/>
            <w:vAlign w:val="center"/>
          </w:tcPr>
          <w:p w14:paraId="742E7871"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11</w:t>
            </w:r>
          </w:p>
        </w:tc>
        <w:tc>
          <w:tcPr>
            <w:tcW w:w="804" w:type="dxa"/>
            <w:vAlign w:val="center"/>
          </w:tcPr>
          <w:p w14:paraId="35CF8442"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11</w:t>
            </w:r>
          </w:p>
        </w:tc>
        <w:tc>
          <w:tcPr>
            <w:tcW w:w="588" w:type="dxa"/>
            <w:vAlign w:val="center"/>
          </w:tcPr>
          <w:p w14:paraId="75119F88"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r>
      <w:tr w:rsidR="00D87FFA" w:rsidRPr="000604BD" w14:paraId="752B8B42" w14:textId="77777777" w:rsidTr="003C62AB">
        <w:trPr>
          <w:trHeight w:val="170"/>
          <w:jc w:val="center"/>
        </w:trPr>
        <w:tc>
          <w:tcPr>
            <w:tcW w:w="1879" w:type="dxa"/>
            <w:shd w:val="clear" w:color="auto" w:fill="auto"/>
            <w:vAlign w:val="bottom"/>
            <w:hideMark/>
          </w:tcPr>
          <w:p w14:paraId="75D289CC"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Chint Group</w:t>
            </w:r>
          </w:p>
        </w:tc>
        <w:tc>
          <w:tcPr>
            <w:tcW w:w="1235" w:type="dxa"/>
            <w:shd w:val="clear" w:color="auto" w:fill="auto"/>
            <w:vAlign w:val="bottom"/>
            <w:hideMark/>
          </w:tcPr>
          <w:p w14:paraId="28FD4AF3"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7</w:t>
            </w:r>
          </w:p>
        </w:tc>
        <w:tc>
          <w:tcPr>
            <w:tcW w:w="1417" w:type="dxa"/>
            <w:shd w:val="clear" w:color="auto" w:fill="auto"/>
            <w:vAlign w:val="bottom"/>
            <w:hideMark/>
          </w:tcPr>
          <w:p w14:paraId="18311F3A"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7</w:t>
            </w:r>
          </w:p>
        </w:tc>
        <w:tc>
          <w:tcPr>
            <w:tcW w:w="1134" w:type="dxa"/>
            <w:shd w:val="clear" w:color="auto" w:fill="auto"/>
            <w:vAlign w:val="bottom"/>
            <w:hideMark/>
          </w:tcPr>
          <w:p w14:paraId="2F87AA78"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02A3927E"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Punjab National Bank (PNB)</w:t>
            </w:r>
          </w:p>
        </w:tc>
        <w:tc>
          <w:tcPr>
            <w:tcW w:w="588" w:type="dxa"/>
            <w:vAlign w:val="center"/>
          </w:tcPr>
          <w:p w14:paraId="58379788"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11</w:t>
            </w:r>
          </w:p>
        </w:tc>
        <w:tc>
          <w:tcPr>
            <w:tcW w:w="804" w:type="dxa"/>
            <w:vAlign w:val="center"/>
          </w:tcPr>
          <w:p w14:paraId="67BD193E"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11</w:t>
            </w:r>
          </w:p>
        </w:tc>
        <w:tc>
          <w:tcPr>
            <w:tcW w:w="588" w:type="dxa"/>
            <w:vAlign w:val="center"/>
          </w:tcPr>
          <w:p w14:paraId="5C7E5263"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r>
      <w:tr w:rsidR="00D87FFA" w:rsidRPr="000604BD" w14:paraId="1727A5B3" w14:textId="77777777" w:rsidTr="003C62AB">
        <w:trPr>
          <w:trHeight w:val="170"/>
          <w:jc w:val="center"/>
        </w:trPr>
        <w:tc>
          <w:tcPr>
            <w:tcW w:w="1879" w:type="dxa"/>
            <w:shd w:val="clear" w:color="auto" w:fill="auto"/>
            <w:vAlign w:val="bottom"/>
            <w:hideMark/>
          </w:tcPr>
          <w:p w14:paraId="228A6761"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LENOVO</w:t>
            </w:r>
          </w:p>
        </w:tc>
        <w:tc>
          <w:tcPr>
            <w:tcW w:w="1235" w:type="dxa"/>
            <w:shd w:val="clear" w:color="auto" w:fill="auto"/>
            <w:vAlign w:val="bottom"/>
            <w:hideMark/>
          </w:tcPr>
          <w:p w14:paraId="32ACA637"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6</w:t>
            </w:r>
          </w:p>
        </w:tc>
        <w:tc>
          <w:tcPr>
            <w:tcW w:w="1417" w:type="dxa"/>
            <w:shd w:val="clear" w:color="auto" w:fill="auto"/>
            <w:vAlign w:val="bottom"/>
            <w:hideMark/>
          </w:tcPr>
          <w:p w14:paraId="24716BBE"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6</w:t>
            </w:r>
          </w:p>
        </w:tc>
        <w:tc>
          <w:tcPr>
            <w:tcW w:w="1134" w:type="dxa"/>
            <w:shd w:val="clear" w:color="auto" w:fill="auto"/>
            <w:vAlign w:val="bottom"/>
            <w:hideMark/>
          </w:tcPr>
          <w:p w14:paraId="2E3F10BF"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0</w:t>
            </w:r>
          </w:p>
        </w:tc>
        <w:tc>
          <w:tcPr>
            <w:tcW w:w="1983" w:type="dxa"/>
            <w:vAlign w:val="center"/>
          </w:tcPr>
          <w:p w14:paraId="4472361E"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Ranbaxy Laboratories</w:t>
            </w:r>
          </w:p>
        </w:tc>
        <w:tc>
          <w:tcPr>
            <w:tcW w:w="588" w:type="dxa"/>
            <w:vAlign w:val="center"/>
          </w:tcPr>
          <w:p w14:paraId="6C9308B8"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10</w:t>
            </w:r>
          </w:p>
        </w:tc>
        <w:tc>
          <w:tcPr>
            <w:tcW w:w="804" w:type="dxa"/>
            <w:vAlign w:val="center"/>
          </w:tcPr>
          <w:p w14:paraId="5FC2634B"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5</w:t>
            </w:r>
          </w:p>
        </w:tc>
        <w:tc>
          <w:tcPr>
            <w:tcW w:w="588" w:type="dxa"/>
            <w:vAlign w:val="center"/>
          </w:tcPr>
          <w:p w14:paraId="3F68162D" w14:textId="77777777" w:rsidR="00D87FFA" w:rsidRPr="000604BD" w:rsidRDefault="00D87FFA" w:rsidP="003C62AB">
            <w:pPr>
              <w:spacing w:after="0" w:line="240" w:lineRule="auto"/>
              <w:jc w:val="center"/>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5</w:t>
            </w:r>
          </w:p>
        </w:tc>
      </w:tr>
    </w:tbl>
    <w:p w14:paraId="670C8656" w14:textId="77777777" w:rsidR="00D87FFA" w:rsidRPr="000604BD" w:rsidRDefault="00D87FFA" w:rsidP="00D87FFA">
      <w:pPr>
        <w:spacing w:before="120" w:after="0"/>
        <w:jc w:val="center"/>
        <w:rPr>
          <w:rFonts w:ascii="Garamond" w:hAnsi="Garamond" w:cs="Times New Roman"/>
          <w:sz w:val="16"/>
          <w:szCs w:val="16"/>
          <w:lang w:val="en-GB"/>
        </w:rPr>
      </w:pPr>
      <w:r w:rsidRPr="000604BD">
        <w:rPr>
          <w:rFonts w:ascii="Garamond" w:hAnsi="Garamond" w:cs="Times New Roman"/>
          <w:sz w:val="16"/>
          <w:szCs w:val="16"/>
          <w:lang w:val="en-GB"/>
        </w:rPr>
        <w:t>Source: EMENDATA</w:t>
      </w:r>
    </w:p>
    <w:p w14:paraId="668A87ED" w14:textId="77777777" w:rsidR="00D87FFA" w:rsidRDefault="00D87FFA" w:rsidP="00D87FFA">
      <w:pPr>
        <w:autoSpaceDE w:val="0"/>
        <w:autoSpaceDN w:val="0"/>
        <w:adjustRightInd w:val="0"/>
        <w:spacing w:after="0" w:line="360" w:lineRule="auto"/>
        <w:ind w:right="-7"/>
        <w:jc w:val="both"/>
        <w:rPr>
          <w:rFonts w:ascii="Garamond" w:hAnsi="Garamond" w:cs="Times New Roman"/>
          <w:lang w:val="en-GB"/>
        </w:rPr>
      </w:pPr>
    </w:p>
    <w:p w14:paraId="2D1E5AF0" w14:textId="77777777" w:rsidR="00230B38" w:rsidRPr="000604BD" w:rsidRDefault="00230B38" w:rsidP="00D87FFA">
      <w:pPr>
        <w:autoSpaceDE w:val="0"/>
        <w:autoSpaceDN w:val="0"/>
        <w:adjustRightInd w:val="0"/>
        <w:spacing w:after="0" w:line="360" w:lineRule="auto"/>
        <w:ind w:right="-7"/>
        <w:jc w:val="both"/>
        <w:rPr>
          <w:rFonts w:ascii="Garamond" w:hAnsi="Garamond" w:cs="Times New Roman"/>
          <w:lang w:val="en-GB"/>
        </w:rPr>
      </w:pPr>
    </w:p>
    <w:p w14:paraId="00938787" w14:textId="3FB449E7" w:rsidR="00230B38" w:rsidRDefault="00D87FFA" w:rsidP="00E934B6">
      <w:pPr>
        <w:autoSpaceDE w:val="0"/>
        <w:autoSpaceDN w:val="0"/>
        <w:adjustRightInd w:val="0"/>
        <w:spacing w:line="360" w:lineRule="auto"/>
        <w:ind w:right="-7"/>
        <w:jc w:val="both"/>
        <w:rPr>
          <w:rFonts w:ascii="Garamond" w:hAnsi="Garamond" w:cs="Times New Roman"/>
          <w:lang w:val="en-GB"/>
        </w:rPr>
      </w:pPr>
      <w:r w:rsidRPr="000604BD">
        <w:rPr>
          <w:rFonts w:ascii="Garamond" w:hAnsi="Garamond" w:cs="Times New Roman"/>
          <w:lang w:val="en-GB"/>
        </w:rPr>
        <w:t xml:space="preserve">Table </w:t>
      </w:r>
      <w:r w:rsidR="006729C6">
        <w:rPr>
          <w:rFonts w:ascii="Garamond" w:hAnsi="Garamond" w:cs="Times New Roman"/>
          <w:lang w:val="en-GB"/>
        </w:rPr>
        <w:t xml:space="preserve">5 shows </w:t>
      </w:r>
      <w:r w:rsidRPr="000604BD">
        <w:rPr>
          <w:rFonts w:ascii="Garamond" w:hAnsi="Garamond" w:cs="Times New Roman"/>
          <w:lang w:val="en-GB"/>
        </w:rPr>
        <w:t xml:space="preserve">main destinations of Chinese and Indian </w:t>
      </w:r>
      <w:r w:rsidR="00423F77" w:rsidRPr="000604BD">
        <w:rPr>
          <w:rFonts w:ascii="Garamond" w:hAnsi="Garamond" w:cs="Times New Roman"/>
          <w:lang w:val="en-GB"/>
        </w:rPr>
        <w:t>top 5</w:t>
      </w:r>
      <w:r w:rsidR="00423F77">
        <w:rPr>
          <w:rFonts w:ascii="Garamond" w:hAnsi="Garamond" w:cs="Times New Roman"/>
          <w:lang w:val="en-GB"/>
        </w:rPr>
        <w:t xml:space="preserve"> BGs </w:t>
      </w:r>
      <w:r w:rsidRPr="000604BD">
        <w:rPr>
          <w:rFonts w:ascii="Garamond" w:hAnsi="Garamond" w:cs="Times New Roman"/>
          <w:lang w:val="en-GB"/>
        </w:rPr>
        <w:t xml:space="preserve">in Europe, compared. The UK attracts the highest number of investments from the top five Chinese BGs and also most of their acquisitions. Although the internationalization strategies of all the BGs are quite diverse with regard to their geographical distribution, </w:t>
      </w:r>
      <w:r w:rsidRPr="000604BD">
        <w:rPr>
          <w:rFonts w:ascii="Garamond" w:hAnsi="Garamond" w:cs="Times New Roman"/>
          <w:i/>
          <w:lang w:val="en-GB"/>
        </w:rPr>
        <w:t>Huawei</w:t>
      </w:r>
      <w:r w:rsidRPr="000604BD">
        <w:rPr>
          <w:rFonts w:ascii="Garamond" w:hAnsi="Garamond" w:cs="Times New Roman"/>
          <w:lang w:val="en-GB"/>
        </w:rPr>
        <w:t xml:space="preserve">, </w:t>
      </w:r>
      <w:r w:rsidRPr="000604BD">
        <w:rPr>
          <w:rFonts w:ascii="Garamond" w:hAnsi="Garamond" w:cs="Times New Roman"/>
          <w:i/>
          <w:lang w:val="en-GB"/>
        </w:rPr>
        <w:t>Suntech</w:t>
      </w:r>
      <w:r w:rsidRPr="000604BD">
        <w:rPr>
          <w:rFonts w:ascii="Garamond" w:hAnsi="Garamond" w:cs="Times New Roman"/>
          <w:lang w:val="en-GB"/>
        </w:rPr>
        <w:t xml:space="preserve">, and </w:t>
      </w:r>
      <w:r w:rsidRPr="000604BD">
        <w:rPr>
          <w:rFonts w:ascii="Garamond" w:hAnsi="Garamond" w:cs="Times New Roman"/>
          <w:i/>
          <w:lang w:val="en-GB"/>
        </w:rPr>
        <w:t>ZTE</w:t>
      </w:r>
      <w:r w:rsidRPr="000604BD">
        <w:rPr>
          <w:rFonts w:ascii="Garamond" w:hAnsi="Garamond" w:cs="Times New Roman"/>
          <w:lang w:val="en-GB"/>
        </w:rPr>
        <w:t xml:space="preserve"> have a broader geographical scope than </w:t>
      </w:r>
      <w:r w:rsidRPr="000604BD">
        <w:rPr>
          <w:rFonts w:ascii="Garamond" w:hAnsi="Garamond" w:cs="Times New Roman"/>
          <w:i/>
          <w:lang w:val="en-GB"/>
        </w:rPr>
        <w:t>SAIC</w:t>
      </w:r>
      <w:r w:rsidRPr="000604BD">
        <w:rPr>
          <w:rFonts w:ascii="Garamond" w:hAnsi="Garamond" w:cs="Times New Roman"/>
          <w:lang w:val="en-GB"/>
        </w:rPr>
        <w:t xml:space="preserve"> which main investment destination is the UK, plus one investment each in Italy and Germany, both countries with a strong tradition in the automotive sector. The main destination for </w:t>
      </w:r>
      <w:r w:rsidRPr="000604BD">
        <w:rPr>
          <w:rFonts w:ascii="Garamond" w:hAnsi="Garamond" w:cs="Times New Roman"/>
          <w:i/>
          <w:lang w:val="en-GB"/>
        </w:rPr>
        <w:t>ChemChina</w:t>
      </w:r>
      <w:r w:rsidRPr="000604BD">
        <w:rPr>
          <w:rFonts w:ascii="Garamond" w:hAnsi="Garamond" w:cs="Times New Roman"/>
          <w:lang w:val="en-GB"/>
        </w:rPr>
        <w:t xml:space="preserve"> is France where there are 11 investments, including 3 acquisitions; besides important target countries are the UK and Spain. </w:t>
      </w:r>
      <w:r w:rsidR="00423F77">
        <w:rPr>
          <w:rFonts w:ascii="Garamond" w:hAnsi="Garamond" w:cs="Times New Roman"/>
          <w:lang w:val="en-GB"/>
        </w:rPr>
        <w:t xml:space="preserve">As regards the sector spread of </w:t>
      </w:r>
      <w:r w:rsidR="00423F77" w:rsidRPr="000604BD">
        <w:rPr>
          <w:rFonts w:ascii="Garamond" w:hAnsi="Garamond" w:cs="Times New Roman"/>
          <w:lang w:val="en-GB"/>
        </w:rPr>
        <w:t>Chinese and Indian</w:t>
      </w:r>
      <w:r w:rsidR="00423F77">
        <w:rPr>
          <w:rFonts w:ascii="Garamond" w:hAnsi="Garamond" w:cs="Times New Roman"/>
          <w:lang w:val="en-GB"/>
        </w:rPr>
        <w:t xml:space="preserve"> BGs, Table </w:t>
      </w:r>
      <w:r w:rsidR="00E934B6">
        <w:rPr>
          <w:rFonts w:ascii="Garamond" w:hAnsi="Garamond" w:cs="Times New Roman"/>
          <w:lang w:val="en-GB"/>
        </w:rPr>
        <w:t>6</w:t>
      </w:r>
      <w:r w:rsidR="00423F77">
        <w:rPr>
          <w:rFonts w:ascii="Garamond" w:hAnsi="Garamond" w:cs="Times New Roman"/>
          <w:lang w:val="en-GB"/>
        </w:rPr>
        <w:t xml:space="preserve"> shows </w:t>
      </w:r>
      <w:r w:rsidR="00E934B6">
        <w:rPr>
          <w:rFonts w:ascii="Garamond" w:hAnsi="Garamond" w:cs="Times New Roman"/>
          <w:lang w:val="en-GB"/>
        </w:rPr>
        <w:t xml:space="preserve">that Indian BGs are much more diversified across sectors compared to their Chinese peers, and this does not seem to be a sector-specific characteristic, which is evident when comparing the biggest BGs from each country belonging to the same sector (such as </w:t>
      </w:r>
      <w:r w:rsidR="00627722">
        <w:rPr>
          <w:rFonts w:ascii="Garamond" w:hAnsi="Garamond" w:cs="Times New Roman"/>
          <w:lang w:val="en-GB"/>
        </w:rPr>
        <w:t>automotive OEM).</w:t>
      </w:r>
    </w:p>
    <w:p w14:paraId="1BCB1C5D" w14:textId="77777777" w:rsidR="00165E49" w:rsidRPr="000604BD" w:rsidRDefault="00165E49" w:rsidP="006729C6">
      <w:pPr>
        <w:autoSpaceDE w:val="0"/>
        <w:autoSpaceDN w:val="0"/>
        <w:adjustRightInd w:val="0"/>
        <w:spacing w:after="0" w:line="360" w:lineRule="auto"/>
        <w:ind w:right="-7"/>
        <w:jc w:val="both"/>
        <w:rPr>
          <w:rFonts w:ascii="Garamond" w:hAnsi="Garamond" w:cs="Times New Roman"/>
          <w:lang w:val="en-GB"/>
        </w:rPr>
      </w:pPr>
    </w:p>
    <w:p w14:paraId="6F1C69CF" w14:textId="77777777" w:rsidR="00230B38" w:rsidRDefault="00230B38">
      <w:pPr>
        <w:rPr>
          <w:rFonts w:ascii="Garamond" w:hAnsi="Garamond" w:cs="Times New Roman"/>
          <w:b/>
          <w:sz w:val="16"/>
          <w:szCs w:val="16"/>
          <w:lang w:val="en-GB"/>
        </w:rPr>
      </w:pPr>
      <w:r>
        <w:rPr>
          <w:rFonts w:ascii="Garamond" w:hAnsi="Garamond" w:cs="Times New Roman"/>
          <w:b/>
          <w:sz w:val="16"/>
          <w:szCs w:val="16"/>
          <w:lang w:val="en-GB"/>
        </w:rPr>
        <w:br w:type="page"/>
      </w:r>
    </w:p>
    <w:p w14:paraId="2F40F29C" w14:textId="36C2ED75" w:rsidR="00D87FFA" w:rsidRPr="006729C6" w:rsidRDefault="00D87FFA" w:rsidP="00D87FFA">
      <w:pPr>
        <w:spacing w:after="0"/>
        <w:jc w:val="center"/>
        <w:rPr>
          <w:rFonts w:ascii="Garamond" w:hAnsi="Garamond" w:cs="Times New Roman"/>
          <w:b/>
          <w:sz w:val="16"/>
          <w:szCs w:val="16"/>
          <w:lang w:val="en-GB"/>
        </w:rPr>
      </w:pPr>
      <w:r w:rsidRPr="006729C6">
        <w:rPr>
          <w:rFonts w:ascii="Garamond" w:hAnsi="Garamond" w:cs="Times New Roman"/>
          <w:b/>
          <w:sz w:val="16"/>
          <w:szCs w:val="16"/>
          <w:lang w:val="en-GB"/>
        </w:rPr>
        <w:lastRenderedPageBreak/>
        <w:t xml:space="preserve">Table </w:t>
      </w:r>
      <w:r w:rsidR="006729C6" w:rsidRPr="006729C6">
        <w:rPr>
          <w:rFonts w:ascii="Garamond" w:hAnsi="Garamond" w:cs="Times New Roman"/>
          <w:b/>
          <w:sz w:val="16"/>
          <w:szCs w:val="16"/>
          <w:lang w:val="en-GB"/>
        </w:rPr>
        <w:t>5</w:t>
      </w:r>
      <w:r w:rsidR="006729C6">
        <w:rPr>
          <w:rFonts w:ascii="Garamond" w:hAnsi="Garamond" w:cs="Times New Roman"/>
          <w:b/>
          <w:sz w:val="16"/>
          <w:szCs w:val="16"/>
          <w:lang w:val="en-GB"/>
        </w:rPr>
        <w:t xml:space="preserve"> Deals</w:t>
      </w:r>
      <w:r w:rsidRPr="006729C6">
        <w:rPr>
          <w:rFonts w:ascii="Garamond" w:hAnsi="Garamond" w:cs="Times New Roman"/>
          <w:b/>
          <w:sz w:val="16"/>
          <w:szCs w:val="16"/>
          <w:lang w:val="en-GB"/>
        </w:rPr>
        <w:t xml:space="preserve"> by top 5 Chinese and Indian groups, by EU27 target country</w:t>
      </w:r>
    </w:p>
    <w:tbl>
      <w:tblPr>
        <w:tblW w:w="5000" w:type="pct"/>
        <w:tblCellMar>
          <w:left w:w="70" w:type="dxa"/>
          <w:right w:w="70" w:type="dxa"/>
        </w:tblCellMar>
        <w:tblLook w:val="04A0" w:firstRow="1" w:lastRow="0" w:firstColumn="1" w:lastColumn="0" w:noHBand="0" w:noVBand="1"/>
      </w:tblPr>
      <w:tblGrid>
        <w:gridCol w:w="1298"/>
        <w:gridCol w:w="928"/>
        <w:gridCol w:w="738"/>
        <w:gridCol w:w="927"/>
        <w:gridCol w:w="738"/>
        <w:gridCol w:w="927"/>
        <w:gridCol w:w="736"/>
        <w:gridCol w:w="927"/>
        <w:gridCol w:w="736"/>
        <w:gridCol w:w="927"/>
        <w:gridCol w:w="756"/>
      </w:tblGrid>
      <w:tr w:rsidR="00D87FFA" w:rsidRPr="000604BD" w14:paraId="5C1BC212" w14:textId="77777777" w:rsidTr="006729C6">
        <w:trPr>
          <w:trHeight w:val="851"/>
        </w:trPr>
        <w:tc>
          <w:tcPr>
            <w:tcW w:w="673" w:type="pct"/>
            <w:tcBorders>
              <w:top w:val="nil"/>
              <w:left w:val="nil"/>
              <w:bottom w:val="nil"/>
              <w:right w:val="nil"/>
            </w:tcBorders>
            <w:shd w:val="clear" w:color="76933C" w:fill="A6A6A6"/>
            <w:vAlign w:val="center"/>
            <w:hideMark/>
          </w:tcPr>
          <w:p w14:paraId="69A81945"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EU27 Country</w:t>
            </w:r>
          </w:p>
        </w:tc>
        <w:tc>
          <w:tcPr>
            <w:tcW w:w="864" w:type="pct"/>
            <w:gridSpan w:val="2"/>
            <w:tcBorders>
              <w:top w:val="nil"/>
              <w:left w:val="nil"/>
              <w:bottom w:val="nil"/>
              <w:right w:val="nil"/>
            </w:tcBorders>
            <w:shd w:val="clear" w:color="76933C" w:fill="A6A6A6"/>
            <w:vAlign w:val="center"/>
            <w:hideMark/>
          </w:tcPr>
          <w:p w14:paraId="70DE5AA8"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China National Chemical (ChemChina)</w:t>
            </w:r>
          </w:p>
        </w:tc>
        <w:tc>
          <w:tcPr>
            <w:tcW w:w="863" w:type="pct"/>
            <w:gridSpan w:val="2"/>
            <w:tcBorders>
              <w:top w:val="nil"/>
              <w:left w:val="nil"/>
              <w:bottom w:val="nil"/>
              <w:right w:val="nil"/>
            </w:tcBorders>
            <w:shd w:val="clear" w:color="76933C" w:fill="A6A6A6"/>
            <w:vAlign w:val="center"/>
            <w:hideMark/>
          </w:tcPr>
          <w:p w14:paraId="1D48E32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Huawei Technologies</w:t>
            </w:r>
          </w:p>
        </w:tc>
        <w:tc>
          <w:tcPr>
            <w:tcW w:w="863" w:type="pct"/>
            <w:gridSpan w:val="2"/>
            <w:tcBorders>
              <w:top w:val="nil"/>
              <w:left w:val="nil"/>
              <w:bottom w:val="nil"/>
              <w:right w:val="nil"/>
            </w:tcBorders>
            <w:shd w:val="clear" w:color="76933C" w:fill="A6A6A6"/>
            <w:vAlign w:val="center"/>
            <w:hideMark/>
          </w:tcPr>
          <w:p w14:paraId="103E4BD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Industrial and Commercial Bank of China (ICBC)</w:t>
            </w:r>
          </w:p>
        </w:tc>
        <w:tc>
          <w:tcPr>
            <w:tcW w:w="863" w:type="pct"/>
            <w:gridSpan w:val="2"/>
            <w:tcBorders>
              <w:top w:val="nil"/>
              <w:left w:val="nil"/>
              <w:bottom w:val="nil"/>
              <w:right w:val="nil"/>
            </w:tcBorders>
            <w:shd w:val="clear" w:color="76933C" w:fill="A6A6A6"/>
            <w:vAlign w:val="center"/>
            <w:hideMark/>
          </w:tcPr>
          <w:p w14:paraId="40EF812B"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Shanghai Automotive Industry Corporation (SAIC)</w:t>
            </w:r>
          </w:p>
        </w:tc>
        <w:tc>
          <w:tcPr>
            <w:tcW w:w="875" w:type="pct"/>
            <w:gridSpan w:val="2"/>
            <w:tcBorders>
              <w:top w:val="nil"/>
              <w:left w:val="nil"/>
              <w:bottom w:val="nil"/>
              <w:right w:val="nil"/>
            </w:tcBorders>
            <w:shd w:val="clear" w:color="76933C" w:fill="A6A6A6"/>
            <w:vAlign w:val="center"/>
            <w:hideMark/>
          </w:tcPr>
          <w:p w14:paraId="3F3B2C35"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ZTE</w:t>
            </w:r>
          </w:p>
        </w:tc>
      </w:tr>
      <w:tr w:rsidR="00D87FFA" w:rsidRPr="000604BD" w14:paraId="2D81597D" w14:textId="77777777" w:rsidTr="003C62AB">
        <w:trPr>
          <w:trHeight w:val="300"/>
        </w:trPr>
        <w:tc>
          <w:tcPr>
            <w:tcW w:w="673" w:type="pct"/>
            <w:tcBorders>
              <w:top w:val="nil"/>
              <w:left w:val="nil"/>
              <w:bottom w:val="nil"/>
              <w:right w:val="nil"/>
            </w:tcBorders>
            <w:shd w:val="clear" w:color="76933C" w:fill="A6A6A6"/>
            <w:vAlign w:val="center"/>
            <w:hideMark/>
          </w:tcPr>
          <w:p w14:paraId="2FF11E0F"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 </w:t>
            </w:r>
          </w:p>
        </w:tc>
        <w:tc>
          <w:tcPr>
            <w:tcW w:w="481" w:type="pct"/>
            <w:tcBorders>
              <w:top w:val="nil"/>
              <w:left w:val="nil"/>
              <w:bottom w:val="nil"/>
              <w:right w:val="nil"/>
            </w:tcBorders>
            <w:shd w:val="clear" w:color="76933C" w:fill="A6A6A6"/>
            <w:vAlign w:val="center"/>
            <w:hideMark/>
          </w:tcPr>
          <w:p w14:paraId="501AE00B"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3211E17C"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vAlign w:val="center"/>
            <w:hideMark/>
          </w:tcPr>
          <w:p w14:paraId="73042391"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00D5637F"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vAlign w:val="center"/>
            <w:hideMark/>
          </w:tcPr>
          <w:p w14:paraId="1556AF5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39908866"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vAlign w:val="center"/>
            <w:hideMark/>
          </w:tcPr>
          <w:p w14:paraId="78CD8B74"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006BD3EF"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noWrap/>
            <w:vAlign w:val="center"/>
            <w:hideMark/>
          </w:tcPr>
          <w:p w14:paraId="43AE35CA"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94" w:type="pct"/>
            <w:tcBorders>
              <w:top w:val="nil"/>
              <w:left w:val="nil"/>
              <w:bottom w:val="nil"/>
              <w:right w:val="nil"/>
            </w:tcBorders>
            <w:shd w:val="clear" w:color="76933C" w:fill="A6A6A6"/>
            <w:noWrap/>
            <w:vAlign w:val="center"/>
            <w:hideMark/>
          </w:tcPr>
          <w:p w14:paraId="0D52688B"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r>
      <w:tr w:rsidR="00D87FFA" w:rsidRPr="000604BD" w14:paraId="5ADC6A6F"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5652E4B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United Kingdom</w:t>
            </w:r>
          </w:p>
        </w:tc>
        <w:tc>
          <w:tcPr>
            <w:tcW w:w="481" w:type="pct"/>
            <w:tcBorders>
              <w:top w:val="nil"/>
              <w:left w:val="nil"/>
              <w:bottom w:val="single" w:sz="4" w:space="0" w:color="EBF1DE"/>
              <w:right w:val="nil"/>
            </w:tcBorders>
            <w:shd w:val="clear" w:color="auto" w:fill="auto"/>
            <w:vAlign w:val="center"/>
            <w:hideMark/>
          </w:tcPr>
          <w:p w14:paraId="451CB47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79451D3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481" w:type="pct"/>
            <w:tcBorders>
              <w:top w:val="nil"/>
              <w:left w:val="nil"/>
              <w:bottom w:val="single" w:sz="4" w:space="0" w:color="EBF1DE"/>
              <w:right w:val="nil"/>
            </w:tcBorders>
            <w:shd w:val="clear" w:color="auto" w:fill="auto"/>
            <w:vAlign w:val="center"/>
            <w:hideMark/>
          </w:tcPr>
          <w:p w14:paraId="6B7E9FD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5</w:t>
            </w:r>
          </w:p>
        </w:tc>
        <w:tc>
          <w:tcPr>
            <w:tcW w:w="382" w:type="pct"/>
            <w:tcBorders>
              <w:top w:val="nil"/>
              <w:left w:val="nil"/>
              <w:bottom w:val="single" w:sz="4" w:space="0" w:color="EBF1DE"/>
              <w:right w:val="nil"/>
            </w:tcBorders>
            <w:shd w:val="clear" w:color="auto" w:fill="auto"/>
            <w:vAlign w:val="center"/>
            <w:hideMark/>
          </w:tcPr>
          <w:p w14:paraId="73C70BC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361C3AF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hideMark/>
          </w:tcPr>
          <w:p w14:paraId="741010C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76112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6</w:t>
            </w:r>
          </w:p>
        </w:tc>
        <w:tc>
          <w:tcPr>
            <w:tcW w:w="382" w:type="pct"/>
            <w:tcBorders>
              <w:top w:val="nil"/>
              <w:left w:val="nil"/>
              <w:bottom w:val="single" w:sz="4" w:space="0" w:color="EBF1DE"/>
              <w:right w:val="nil"/>
            </w:tcBorders>
            <w:shd w:val="clear" w:color="auto" w:fill="auto"/>
            <w:vAlign w:val="center"/>
            <w:hideMark/>
          </w:tcPr>
          <w:p w14:paraId="5210129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481" w:type="pct"/>
            <w:tcBorders>
              <w:top w:val="nil"/>
              <w:left w:val="nil"/>
              <w:bottom w:val="single" w:sz="4" w:space="0" w:color="EBF1DE"/>
              <w:right w:val="nil"/>
            </w:tcBorders>
            <w:shd w:val="clear" w:color="auto" w:fill="auto"/>
            <w:vAlign w:val="center"/>
            <w:hideMark/>
          </w:tcPr>
          <w:p w14:paraId="4DA707D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94" w:type="pct"/>
            <w:tcBorders>
              <w:top w:val="nil"/>
              <w:left w:val="nil"/>
              <w:bottom w:val="single" w:sz="4" w:space="0" w:color="EBF1DE"/>
              <w:right w:val="nil"/>
            </w:tcBorders>
            <w:shd w:val="clear" w:color="auto" w:fill="auto"/>
            <w:vAlign w:val="center"/>
            <w:hideMark/>
          </w:tcPr>
          <w:p w14:paraId="1BE5D30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1A5074A3"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54EC107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France</w:t>
            </w:r>
          </w:p>
        </w:tc>
        <w:tc>
          <w:tcPr>
            <w:tcW w:w="481" w:type="pct"/>
            <w:tcBorders>
              <w:top w:val="nil"/>
              <w:left w:val="nil"/>
              <w:bottom w:val="single" w:sz="4" w:space="0" w:color="EBF1DE"/>
              <w:right w:val="nil"/>
            </w:tcBorders>
            <w:shd w:val="clear" w:color="auto" w:fill="auto"/>
            <w:vAlign w:val="center"/>
            <w:hideMark/>
          </w:tcPr>
          <w:p w14:paraId="7F3FC35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8</w:t>
            </w:r>
          </w:p>
        </w:tc>
        <w:tc>
          <w:tcPr>
            <w:tcW w:w="382" w:type="pct"/>
            <w:tcBorders>
              <w:top w:val="nil"/>
              <w:left w:val="nil"/>
              <w:bottom w:val="single" w:sz="4" w:space="0" w:color="EBF1DE"/>
              <w:right w:val="nil"/>
            </w:tcBorders>
            <w:shd w:val="clear" w:color="auto" w:fill="auto"/>
            <w:vAlign w:val="center"/>
            <w:hideMark/>
          </w:tcPr>
          <w:p w14:paraId="4C370B2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481" w:type="pct"/>
            <w:tcBorders>
              <w:top w:val="nil"/>
              <w:left w:val="nil"/>
              <w:bottom w:val="single" w:sz="4" w:space="0" w:color="EBF1DE"/>
              <w:right w:val="nil"/>
            </w:tcBorders>
            <w:shd w:val="clear" w:color="auto" w:fill="auto"/>
            <w:vAlign w:val="center"/>
            <w:hideMark/>
          </w:tcPr>
          <w:p w14:paraId="76B473F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5</w:t>
            </w:r>
          </w:p>
        </w:tc>
        <w:tc>
          <w:tcPr>
            <w:tcW w:w="382" w:type="pct"/>
            <w:tcBorders>
              <w:top w:val="nil"/>
              <w:left w:val="nil"/>
              <w:bottom w:val="single" w:sz="4" w:space="0" w:color="EBF1DE"/>
              <w:right w:val="nil"/>
            </w:tcBorders>
            <w:shd w:val="clear" w:color="auto" w:fill="auto"/>
            <w:vAlign w:val="center"/>
            <w:hideMark/>
          </w:tcPr>
          <w:p w14:paraId="03D1DAE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4C748F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0C46703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054CA57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6874566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5224035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p>
        </w:tc>
        <w:tc>
          <w:tcPr>
            <w:tcW w:w="394" w:type="pct"/>
            <w:tcBorders>
              <w:top w:val="nil"/>
              <w:left w:val="nil"/>
              <w:bottom w:val="single" w:sz="4" w:space="0" w:color="EBF1DE"/>
              <w:right w:val="nil"/>
            </w:tcBorders>
            <w:shd w:val="clear" w:color="auto" w:fill="auto"/>
            <w:vAlign w:val="center"/>
            <w:hideMark/>
          </w:tcPr>
          <w:p w14:paraId="4AA0EA7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3D3ACBD3"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1B973FA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Germany</w:t>
            </w:r>
          </w:p>
        </w:tc>
        <w:tc>
          <w:tcPr>
            <w:tcW w:w="481" w:type="pct"/>
            <w:tcBorders>
              <w:top w:val="nil"/>
              <w:left w:val="nil"/>
              <w:bottom w:val="single" w:sz="4" w:space="0" w:color="EBF1DE"/>
              <w:right w:val="nil"/>
            </w:tcBorders>
            <w:shd w:val="clear" w:color="auto" w:fill="auto"/>
            <w:vAlign w:val="center"/>
            <w:hideMark/>
          </w:tcPr>
          <w:p w14:paraId="147274A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05F1722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1AB5DD7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6</w:t>
            </w:r>
          </w:p>
        </w:tc>
        <w:tc>
          <w:tcPr>
            <w:tcW w:w="382" w:type="pct"/>
            <w:tcBorders>
              <w:top w:val="nil"/>
              <w:left w:val="nil"/>
              <w:bottom w:val="single" w:sz="4" w:space="0" w:color="EBF1DE"/>
              <w:right w:val="nil"/>
            </w:tcBorders>
            <w:shd w:val="clear" w:color="auto" w:fill="auto"/>
            <w:vAlign w:val="center"/>
            <w:hideMark/>
          </w:tcPr>
          <w:p w14:paraId="4DFE3C7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D63062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hideMark/>
          </w:tcPr>
          <w:p w14:paraId="4AEF432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57F12D1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5A5B2B4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7698733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6</w:t>
            </w:r>
          </w:p>
        </w:tc>
        <w:tc>
          <w:tcPr>
            <w:tcW w:w="394" w:type="pct"/>
            <w:tcBorders>
              <w:top w:val="nil"/>
              <w:left w:val="nil"/>
              <w:bottom w:val="single" w:sz="4" w:space="0" w:color="EBF1DE"/>
              <w:right w:val="nil"/>
            </w:tcBorders>
            <w:shd w:val="clear" w:color="auto" w:fill="auto"/>
            <w:vAlign w:val="center"/>
            <w:hideMark/>
          </w:tcPr>
          <w:p w14:paraId="518A2F0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0E43F9E5"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13AA44E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Spain</w:t>
            </w:r>
          </w:p>
        </w:tc>
        <w:tc>
          <w:tcPr>
            <w:tcW w:w="481" w:type="pct"/>
            <w:tcBorders>
              <w:top w:val="nil"/>
              <w:left w:val="nil"/>
              <w:bottom w:val="single" w:sz="4" w:space="0" w:color="EBF1DE"/>
              <w:right w:val="nil"/>
            </w:tcBorders>
            <w:shd w:val="clear" w:color="auto" w:fill="auto"/>
            <w:vAlign w:val="center"/>
            <w:hideMark/>
          </w:tcPr>
          <w:p w14:paraId="0622374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hideMark/>
          </w:tcPr>
          <w:p w14:paraId="69B02F3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hideMark/>
          </w:tcPr>
          <w:p w14:paraId="2710D55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p>
        </w:tc>
        <w:tc>
          <w:tcPr>
            <w:tcW w:w="382" w:type="pct"/>
            <w:tcBorders>
              <w:top w:val="nil"/>
              <w:left w:val="nil"/>
              <w:bottom w:val="single" w:sz="4" w:space="0" w:color="EBF1DE"/>
              <w:right w:val="nil"/>
            </w:tcBorders>
            <w:shd w:val="clear" w:color="auto" w:fill="auto"/>
            <w:vAlign w:val="center"/>
            <w:hideMark/>
          </w:tcPr>
          <w:p w14:paraId="4BD5E59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67D6A4E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hideMark/>
          </w:tcPr>
          <w:p w14:paraId="30812F3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66FC85F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00ACA87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7AC8364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94" w:type="pct"/>
            <w:tcBorders>
              <w:top w:val="nil"/>
              <w:left w:val="nil"/>
              <w:bottom w:val="single" w:sz="4" w:space="0" w:color="EBF1DE"/>
              <w:right w:val="nil"/>
            </w:tcBorders>
            <w:shd w:val="clear" w:color="auto" w:fill="auto"/>
            <w:vAlign w:val="center"/>
            <w:hideMark/>
          </w:tcPr>
          <w:p w14:paraId="6DD7E39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6551354F"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60D6836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Italy</w:t>
            </w:r>
          </w:p>
        </w:tc>
        <w:tc>
          <w:tcPr>
            <w:tcW w:w="481" w:type="pct"/>
            <w:tcBorders>
              <w:top w:val="nil"/>
              <w:left w:val="nil"/>
              <w:bottom w:val="single" w:sz="4" w:space="0" w:color="EBF1DE"/>
              <w:right w:val="nil"/>
            </w:tcBorders>
            <w:shd w:val="clear" w:color="auto" w:fill="auto"/>
            <w:vAlign w:val="center"/>
            <w:hideMark/>
          </w:tcPr>
          <w:p w14:paraId="207C15F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536418E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421CEE4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7</w:t>
            </w:r>
          </w:p>
        </w:tc>
        <w:tc>
          <w:tcPr>
            <w:tcW w:w="382" w:type="pct"/>
            <w:tcBorders>
              <w:top w:val="nil"/>
              <w:left w:val="nil"/>
              <w:bottom w:val="single" w:sz="4" w:space="0" w:color="EBF1DE"/>
              <w:right w:val="nil"/>
            </w:tcBorders>
            <w:shd w:val="clear" w:color="auto" w:fill="auto"/>
            <w:vAlign w:val="center"/>
            <w:hideMark/>
          </w:tcPr>
          <w:p w14:paraId="6AEECE4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666C262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5E006E0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5189BD7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2C3542B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124C1AF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94" w:type="pct"/>
            <w:tcBorders>
              <w:top w:val="nil"/>
              <w:left w:val="nil"/>
              <w:bottom w:val="single" w:sz="4" w:space="0" w:color="EBF1DE"/>
              <w:right w:val="nil"/>
            </w:tcBorders>
            <w:shd w:val="clear" w:color="auto" w:fill="auto"/>
            <w:vAlign w:val="center"/>
            <w:hideMark/>
          </w:tcPr>
          <w:p w14:paraId="0CB3B5C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6FE3EC1A"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7777035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Hungary</w:t>
            </w:r>
          </w:p>
        </w:tc>
        <w:tc>
          <w:tcPr>
            <w:tcW w:w="481" w:type="pct"/>
            <w:tcBorders>
              <w:top w:val="nil"/>
              <w:left w:val="nil"/>
              <w:bottom w:val="single" w:sz="4" w:space="0" w:color="EBF1DE"/>
              <w:right w:val="nil"/>
            </w:tcBorders>
            <w:shd w:val="clear" w:color="auto" w:fill="auto"/>
            <w:vAlign w:val="center"/>
            <w:hideMark/>
          </w:tcPr>
          <w:p w14:paraId="2BC92E0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5FF7863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35E4538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7</w:t>
            </w:r>
          </w:p>
        </w:tc>
        <w:tc>
          <w:tcPr>
            <w:tcW w:w="382" w:type="pct"/>
            <w:tcBorders>
              <w:top w:val="nil"/>
              <w:left w:val="nil"/>
              <w:bottom w:val="single" w:sz="4" w:space="0" w:color="EBF1DE"/>
              <w:right w:val="nil"/>
            </w:tcBorders>
            <w:shd w:val="clear" w:color="auto" w:fill="auto"/>
            <w:vAlign w:val="center"/>
            <w:hideMark/>
          </w:tcPr>
          <w:p w14:paraId="1366403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54B91D7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5CAD637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02CE576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40FCC01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3B624E3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94" w:type="pct"/>
            <w:tcBorders>
              <w:top w:val="nil"/>
              <w:left w:val="nil"/>
              <w:bottom w:val="single" w:sz="4" w:space="0" w:color="EBF1DE"/>
              <w:right w:val="nil"/>
            </w:tcBorders>
            <w:shd w:val="clear" w:color="auto" w:fill="auto"/>
            <w:vAlign w:val="center"/>
            <w:hideMark/>
          </w:tcPr>
          <w:p w14:paraId="455F30E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0682D138"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15E587A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Romania</w:t>
            </w:r>
          </w:p>
        </w:tc>
        <w:tc>
          <w:tcPr>
            <w:tcW w:w="481" w:type="pct"/>
            <w:tcBorders>
              <w:top w:val="nil"/>
              <w:left w:val="nil"/>
              <w:bottom w:val="single" w:sz="4" w:space="0" w:color="EBF1DE"/>
              <w:right w:val="nil"/>
            </w:tcBorders>
            <w:shd w:val="clear" w:color="auto" w:fill="auto"/>
            <w:vAlign w:val="center"/>
            <w:hideMark/>
          </w:tcPr>
          <w:p w14:paraId="2191BBD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6EE07E2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35545D7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p>
        </w:tc>
        <w:tc>
          <w:tcPr>
            <w:tcW w:w="382" w:type="pct"/>
            <w:tcBorders>
              <w:top w:val="nil"/>
              <w:left w:val="nil"/>
              <w:bottom w:val="single" w:sz="4" w:space="0" w:color="EBF1DE"/>
              <w:right w:val="nil"/>
            </w:tcBorders>
            <w:shd w:val="clear" w:color="auto" w:fill="auto"/>
            <w:vAlign w:val="center"/>
            <w:hideMark/>
          </w:tcPr>
          <w:p w14:paraId="0093244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7E2B30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3EFAA5C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30B5A16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42FE157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889FAF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94" w:type="pct"/>
            <w:tcBorders>
              <w:top w:val="nil"/>
              <w:left w:val="nil"/>
              <w:bottom w:val="single" w:sz="4" w:space="0" w:color="EBF1DE"/>
              <w:right w:val="nil"/>
            </w:tcBorders>
            <w:shd w:val="clear" w:color="auto" w:fill="auto"/>
            <w:vAlign w:val="center"/>
            <w:hideMark/>
          </w:tcPr>
          <w:p w14:paraId="506D272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2E6D1080"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63A0F59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Netherlands</w:t>
            </w:r>
          </w:p>
        </w:tc>
        <w:tc>
          <w:tcPr>
            <w:tcW w:w="481" w:type="pct"/>
            <w:tcBorders>
              <w:top w:val="nil"/>
              <w:left w:val="nil"/>
              <w:bottom w:val="single" w:sz="4" w:space="0" w:color="EBF1DE"/>
              <w:right w:val="nil"/>
            </w:tcBorders>
            <w:shd w:val="clear" w:color="auto" w:fill="auto"/>
            <w:vAlign w:val="center"/>
            <w:hideMark/>
          </w:tcPr>
          <w:p w14:paraId="30FB383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30A867F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47A8CA8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hideMark/>
          </w:tcPr>
          <w:p w14:paraId="316EF43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089C956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hideMark/>
          </w:tcPr>
          <w:p w14:paraId="7A1CC16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3C34413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3BB7C39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13D81A9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94" w:type="pct"/>
            <w:tcBorders>
              <w:top w:val="nil"/>
              <w:left w:val="nil"/>
              <w:bottom w:val="single" w:sz="4" w:space="0" w:color="EBF1DE"/>
              <w:right w:val="nil"/>
            </w:tcBorders>
            <w:shd w:val="clear" w:color="auto" w:fill="auto"/>
            <w:vAlign w:val="center"/>
            <w:hideMark/>
          </w:tcPr>
          <w:p w14:paraId="6480709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664DEB41"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291ED3B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Belgium</w:t>
            </w:r>
          </w:p>
        </w:tc>
        <w:tc>
          <w:tcPr>
            <w:tcW w:w="481" w:type="pct"/>
            <w:tcBorders>
              <w:top w:val="nil"/>
              <w:left w:val="nil"/>
              <w:bottom w:val="nil"/>
              <w:right w:val="nil"/>
            </w:tcBorders>
            <w:shd w:val="clear" w:color="auto" w:fill="auto"/>
            <w:vAlign w:val="bottom"/>
            <w:hideMark/>
          </w:tcPr>
          <w:p w14:paraId="1EAC1B4C" w14:textId="77777777" w:rsidR="00D87FFA" w:rsidRPr="000604BD" w:rsidRDefault="00D87FFA" w:rsidP="003C62AB">
            <w:pPr>
              <w:spacing w:after="0" w:line="240" w:lineRule="auto"/>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hideMark/>
          </w:tcPr>
          <w:p w14:paraId="4B9FFEF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481" w:type="pct"/>
            <w:tcBorders>
              <w:top w:val="nil"/>
              <w:left w:val="nil"/>
              <w:bottom w:val="single" w:sz="4" w:space="0" w:color="EBF1DE"/>
              <w:right w:val="nil"/>
            </w:tcBorders>
            <w:shd w:val="clear" w:color="auto" w:fill="auto"/>
            <w:vAlign w:val="center"/>
            <w:hideMark/>
          </w:tcPr>
          <w:p w14:paraId="540500B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hideMark/>
          </w:tcPr>
          <w:p w14:paraId="5EF9C5D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F27ED5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hideMark/>
          </w:tcPr>
          <w:p w14:paraId="29C94F2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AEEE45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29B993A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4F6319A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94" w:type="pct"/>
            <w:tcBorders>
              <w:top w:val="nil"/>
              <w:left w:val="nil"/>
              <w:bottom w:val="single" w:sz="4" w:space="0" w:color="EBF1DE"/>
              <w:right w:val="nil"/>
            </w:tcBorders>
            <w:shd w:val="clear" w:color="auto" w:fill="auto"/>
            <w:vAlign w:val="center"/>
            <w:hideMark/>
          </w:tcPr>
          <w:p w14:paraId="27DD0D2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748A3D2C"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5646F9E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Sweden</w:t>
            </w:r>
          </w:p>
        </w:tc>
        <w:tc>
          <w:tcPr>
            <w:tcW w:w="481" w:type="pct"/>
            <w:tcBorders>
              <w:top w:val="single" w:sz="4" w:space="0" w:color="EBF1DE"/>
              <w:left w:val="nil"/>
              <w:bottom w:val="single" w:sz="4" w:space="0" w:color="EBF1DE"/>
              <w:right w:val="nil"/>
            </w:tcBorders>
            <w:shd w:val="clear" w:color="auto" w:fill="auto"/>
            <w:vAlign w:val="center"/>
            <w:hideMark/>
          </w:tcPr>
          <w:p w14:paraId="7BEDCBD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6CB2B8E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1F6D154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hideMark/>
          </w:tcPr>
          <w:p w14:paraId="36D5C25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418C9DD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4A909AC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88E6AF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7AAA085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680F4C3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94" w:type="pct"/>
            <w:tcBorders>
              <w:top w:val="nil"/>
              <w:left w:val="nil"/>
              <w:bottom w:val="single" w:sz="4" w:space="0" w:color="EBF1DE"/>
              <w:right w:val="nil"/>
            </w:tcBorders>
            <w:shd w:val="clear" w:color="auto" w:fill="auto"/>
            <w:vAlign w:val="center"/>
            <w:hideMark/>
          </w:tcPr>
          <w:p w14:paraId="2DECE7E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3A74281D" w14:textId="77777777" w:rsidTr="003C62AB">
        <w:trPr>
          <w:trHeight w:val="170"/>
        </w:trPr>
        <w:tc>
          <w:tcPr>
            <w:tcW w:w="673" w:type="pct"/>
            <w:tcBorders>
              <w:top w:val="nil"/>
              <w:left w:val="nil"/>
              <w:bottom w:val="single" w:sz="4" w:space="0" w:color="EBF1DE"/>
              <w:right w:val="nil"/>
            </w:tcBorders>
            <w:shd w:val="clear" w:color="auto" w:fill="auto"/>
            <w:vAlign w:val="center"/>
            <w:hideMark/>
          </w:tcPr>
          <w:p w14:paraId="7659A52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Other countries</w:t>
            </w:r>
          </w:p>
        </w:tc>
        <w:tc>
          <w:tcPr>
            <w:tcW w:w="481" w:type="pct"/>
            <w:tcBorders>
              <w:top w:val="nil"/>
              <w:left w:val="nil"/>
              <w:bottom w:val="single" w:sz="4" w:space="0" w:color="EBF1DE"/>
              <w:right w:val="nil"/>
            </w:tcBorders>
            <w:shd w:val="clear" w:color="auto" w:fill="auto"/>
            <w:vAlign w:val="center"/>
            <w:hideMark/>
          </w:tcPr>
          <w:p w14:paraId="6822108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7DE1D86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5C379F7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6</w:t>
            </w:r>
          </w:p>
        </w:tc>
        <w:tc>
          <w:tcPr>
            <w:tcW w:w="382" w:type="pct"/>
            <w:tcBorders>
              <w:top w:val="nil"/>
              <w:left w:val="nil"/>
              <w:bottom w:val="single" w:sz="4" w:space="0" w:color="EBF1DE"/>
              <w:right w:val="nil"/>
            </w:tcBorders>
            <w:shd w:val="clear" w:color="auto" w:fill="auto"/>
            <w:vAlign w:val="center"/>
            <w:hideMark/>
          </w:tcPr>
          <w:p w14:paraId="5CED6CF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1B7A770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hideMark/>
          </w:tcPr>
          <w:p w14:paraId="4434467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47F382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382" w:type="pct"/>
            <w:tcBorders>
              <w:top w:val="nil"/>
              <w:left w:val="nil"/>
              <w:bottom w:val="single" w:sz="4" w:space="0" w:color="EBF1DE"/>
              <w:right w:val="nil"/>
            </w:tcBorders>
            <w:shd w:val="clear" w:color="auto" w:fill="auto"/>
            <w:vAlign w:val="center"/>
            <w:hideMark/>
          </w:tcPr>
          <w:p w14:paraId="3F9A784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c>
          <w:tcPr>
            <w:tcW w:w="481" w:type="pct"/>
            <w:tcBorders>
              <w:top w:val="nil"/>
              <w:left w:val="nil"/>
              <w:bottom w:val="single" w:sz="4" w:space="0" w:color="EBF1DE"/>
              <w:right w:val="nil"/>
            </w:tcBorders>
            <w:shd w:val="clear" w:color="auto" w:fill="auto"/>
            <w:vAlign w:val="center"/>
            <w:hideMark/>
          </w:tcPr>
          <w:p w14:paraId="2406020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5</w:t>
            </w:r>
          </w:p>
        </w:tc>
        <w:tc>
          <w:tcPr>
            <w:tcW w:w="394" w:type="pct"/>
            <w:tcBorders>
              <w:top w:val="nil"/>
              <w:left w:val="nil"/>
              <w:bottom w:val="single" w:sz="4" w:space="0" w:color="EBF1DE"/>
              <w:right w:val="nil"/>
            </w:tcBorders>
            <w:shd w:val="clear" w:color="auto" w:fill="auto"/>
            <w:vAlign w:val="center"/>
            <w:hideMark/>
          </w:tcPr>
          <w:p w14:paraId="1588C18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40E4B607" w14:textId="77777777" w:rsidTr="006729C6">
        <w:trPr>
          <w:trHeight w:val="851"/>
        </w:trPr>
        <w:tc>
          <w:tcPr>
            <w:tcW w:w="672" w:type="pct"/>
            <w:tcBorders>
              <w:top w:val="nil"/>
              <w:left w:val="nil"/>
              <w:bottom w:val="nil"/>
              <w:right w:val="nil"/>
            </w:tcBorders>
            <w:shd w:val="clear" w:color="76933C" w:fill="A6A6A6"/>
            <w:vAlign w:val="center"/>
            <w:hideMark/>
          </w:tcPr>
          <w:p w14:paraId="79AD672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EU27 Country</w:t>
            </w:r>
          </w:p>
        </w:tc>
        <w:tc>
          <w:tcPr>
            <w:tcW w:w="864" w:type="pct"/>
            <w:gridSpan w:val="2"/>
            <w:tcBorders>
              <w:top w:val="nil"/>
              <w:left w:val="nil"/>
              <w:bottom w:val="nil"/>
              <w:right w:val="nil"/>
            </w:tcBorders>
            <w:shd w:val="clear" w:color="76933C" w:fill="A6A6A6"/>
            <w:vAlign w:val="center"/>
          </w:tcPr>
          <w:p w14:paraId="0C5A85CE"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Mahindra Group</w:t>
            </w:r>
          </w:p>
        </w:tc>
        <w:tc>
          <w:tcPr>
            <w:tcW w:w="864" w:type="pct"/>
            <w:gridSpan w:val="2"/>
            <w:tcBorders>
              <w:top w:val="nil"/>
              <w:left w:val="nil"/>
              <w:bottom w:val="nil"/>
              <w:right w:val="nil"/>
            </w:tcBorders>
            <w:shd w:val="clear" w:color="76933C" w:fill="A6A6A6"/>
            <w:vAlign w:val="center"/>
          </w:tcPr>
          <w:p w14:paraId="07CBEC75"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Reliance</w:t>
            </w:r>
          </w:p>
        </w:tc>
        <w:tc>
          <w:tcPr>
            <w:tcW w:w="863" w:type="pct"/>
            <w:gridSpan w:val="2"/>
            <w:tcBorders>
              <w:top w:val="nil"/>
              <w:left w:val="nil"/>
              <w:bottom w:val="nil"/>
              <w:right w:val="nil"/>
            </w:tcBorders>
            <w:shd w:val="clear" w:color="76933C" w:fill="A6A6A6"/>
            <w:vAlign w:val="center"/>
          </w:tcPr>
          <w:p w14:paraId="353AF5F5"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State Bank of India (SBI)</w:t>
            </w:r>
          </w:p>
        </w:tc>
        <w:tc>
          <w:tcPr>
            <w:tcW w:w="863" w:type="pct"/>
            <w:gridSpan w:val="2"/>
            <w:tcBorders>
              <w:top w:val="nil"/>
              <w:left w:val="nil"/>
              <w:bottom w:val="nil"/>
              <w:right w:val="nil"/>
            </w:tcBorders>
            <w:shd w:val="clear" w:color="76933C" w:fill="A6A6A6"/>
            <w:vAlign w:val="center"/>
          </w:tcPr>
          <w:p w14:paraId="31FA8D59"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Tata Group</w:t>
            </w:r>
          </w:p>
        </w:tc>
        <w:tc>
          <w:tcPr>
            <w:tcW w:w="875" w:type="pct"/>
            <w:gridSpan w:val="2"/>
            <w:tcBorders>
              <w:top w:val="nil"/>
              <w:left w:val="nil"/>
              <w:bottom w:val="nil"/>
              <w:right w:val="nil"/>
            </w:tcBorders>
            <w:shd w:val="clear" w:color="76933C" w:fill="A6A6A6"/>
            <w:vAlign w:val="center"/>
          </w:tcPr>
          <w:p w14:paraId="740D64E6"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Wipro</w:t>
            </w:r>
          </w:p>
        </w:tc>
      </w:tr>
      <w:tr w:rsidR="00D87FFA" w:rsidRPr="000604BD" w14:paraId="64A787EA" w14:textId="77777777" w:rsidTr="006729C6">
        <w:trPr>
          <w:trHeight w:val="57"/>
        </w:trPr>
        <w:tc>
          <w:tcPr>
            <w:tcW w:w="672" w:type="pct"/>
            <w:tcBorders>
              <w:top w:val="nil"/>
              <w:left w:val="nil"/>
              <w:bottom w:val="nil"/>
              <w:right w:val="nil"/>
            </w:tcBorders>
            <w:shd w:val="clear" w:color="76933C" w:fill="A6A6A6"/>
            <w:vAlign w:val="center"/>
            <w:hideMark/>
          </w:tcPr>
          <w:p w14:paraId="212808BB"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 </w:t>
            </w:r>
          </w:p>
        </w:tc>
        <w:tc>
          <w:tcPr>
            <w:tcW w:w="481" w:type="pct"/>
            <w:tcBorders>
              <w:top w:val="nil"/>
              <w:left w:val="nil"/>
              <w:bottom w:val="nil"/>
              <w:right w:val="nil"/>
            </w:tcBorders>
            <w:shd w:val="clear" w:color="76933C" w:fill="A6A6A6"/>
            <w:vAlign w:val="center"/>
            <w:hideMark/>
          </w:tcPr>
          <w:p w14:paraId="17E3ADC6"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148E557B"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vAlign w:val="center"/>
            <w:hideMark/>
          </w:tcPr>
          <w:p w14:paraId="33720D47"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39741C1C"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vAlign w:val="center"/>
            <w:hideMark/>
          </w:tcPr>
          <w:p w14:paraId="3667244E"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2DE89EC7"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vAlign w:val="center"/>
            <w:hideMark/>
          </w:tcPr>
          <w:p w14:paraId="501FF4FC"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82" w:type="pct"/>
            <w:tcBorders>
              <w:top w:val="nil"/>
              <w:left w:val="nil"/>
              <w:bottom w:val="nil"/>
              <w:right w:val="nil"/>
            </w:tcBorders>
            <w:shd w:val="clear" w:color="76933C" w:fill="A6A6A6"/>
            <w:vAlign w:val="center"/>
            <w:hideMark/>
          </w:tcPr>
          <w:p w14:paraId="75064654"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c>
          <w:tcPr>
            <w:tcW w:w="481" w:type="pct"/>
            <w:tcBorders>
              <w:top w:val="nil"/>
              <w:left w:val="nil"/>
              <w:bottom w:val="nil"/>
              <w:right w:val="nil"/>
            </w:tcBorders>
            <w:shd w:val="clear" w:color="76933C" w:fill="A6A6A6"/>
            <w:noWrap/>
            <w:vAlign w:val="center"/>
            <w:hideMark/>
          </w:tcPr>
          <w:p w14:paraId="0CC4FC1B"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Greenfield</w:t>
            </w:r>
          </w:p>
        </w:tc>
        <w:tc>
          <w:tcPr>
            <w:tcW w:w="394" w:type="pct"/>
            <w:tcBorders>
              <w:top w:val="nil"/>
              <w:left w:val="nil"/>
              <w:bottom w:val="nil"/>
              <w:right w:val="nil"/>
            </w:tcBorders>
            <w:shd w:val="clear" w:color="76933C" w:fill="A6A6A6"/>
            <w:noWrap/>
            <w:vAlign w:val="center"/>
            <w:hideMark/>
          </w:tcPr>
          <w:p w14:paraId="7C08476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M&amp;A</w:t>
            </w:r>
          </w:p>
        </w:tc>
      </w:tr>
      <w:tr w:rsidR="00D87FFA" w:rsidRPr="000604BD" w14:paraId="6BE15684"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0A160C0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United Kingdom</w:t>
            </w:r>
          </w:p>
        </w:tc>
        <w:tc>
          <w:tcPr>
            <w:tcW w:w="481" w:type="pct"/>
            <w:tcBorders>
              <w:top w:val="nil"/>
              <w:left w:val="nil"/>
              <w:bottom w:val="single" w:sz="4" w:space="0" w:color="EBF1DE"/>
              <w:right w:val="nil"/>
            </w:tcBorders>
            <w:shd w:val="clear" w:color="auto" w:fill="auto"/>
            <w:vAlign w:val="center"/>
          </w:tcPr>
          <w:p w14:paraId="0AD8313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tcPr>
          <w:p w14:paraId="22E538E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481" w:type="pct"/>
            <w:tcBorders>
              <w:top w:val="nil"/>
              <w:left w:val="nil"/>
              <w:bottom w:val="single" w:sz="4" w:space="0" w:color="EBF1DE"/>
              <w:right w:val="nil"/>
            </w:tcBorders>
            <w:shd w:val="clear" w:color="auto" w:fill="auto"/>
            <w:vAlign w:val="center"/>
          </w:tcPr>
          <w:p w14:paraId="4EC44CD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7</w:t>
            </w:r>
          </w:p>
        </w:tc>
        <w:tc>
          <w:tcPr>
            <w:tcW w:w="382" w:type="pct"/>
            <w:tcBorders>
              <w:top w:val="nil"/>
              <w:left w:val="nil"/>
              <w:bottom w:val="single" w:sz="4" w:space="0" w:color="EBF1DE"/>
              <w:right w:val="nil"/>
            </w:tcBorders>
            <w:shd w:val="clear" w:color="auto" w:fill="auto"/>
            <w:vAlign w:val="center"/>
          </w:tcPr>
          <w:p w14:paraId="5BC5591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p>
        </w:tc>
        <w:tc>
          <w:tcPr>
            <w:tcW w:w="481" w:type="pct"/>
            <w:tcBorders>
              <w:top w:val="nil"/>
              <w:left w:val="nil"/>
              <w:bottom w:val="single" w:sz="4" w:space="0" w:color="EBF1DE"/>
              <w:right w:val="nil"/>
            </w:tcBorders>
            <w:shd w:val="clear" w:color="auto" w:fill="auto"/>
            <w:vAlign w:val="center"/>
          </w:tcPr>
          <w:p w14:paraId="3CF7473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11</w:t>
            </w:r>
          </w:p>
        </w:tc>
        <w:tc>
          <w:tcPr>
            <w:tcW w:w="382" w:type="pct"/>
            <w:tcBorders>
              <w:top w:val="nil"/>
              <w:left w:val="nil"/>
              <w:bottom w:val="single" w:sz="4" w:space="0" w:color="EBF1DE"/>
              <w:right w:val="nil"/>
            </w:tcBorders>
            <w:shd w:val="clear" w:color="auto" w:fill="auto"/>
            <w:vAlign w:val="center"/>
          </w:tcPr>
          <w:p w14:paraId="7573882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6C3B407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33</w:t>
            </w:r>
          </w:p>
        </w:tc>
        <w:tc>
          <w:tcPr>
            <w:tcW w:w="382" w:type="pct"/>
            <w:tcBorders>
              <w:top w:val="nil"/>
              <w:left w:val="nil"/>
              <w:bottom w:val="single" w:sz="4" w:space="0" w:color="EBF1DE"/>
              <w:right w:val="nil"/>
            </w:tcBorders>
            <w:shd w:val="clear" w:color="auto" w:fill="auto"/>
            <w:vAlign w:val="center"/>
          </w:tcPr>
          <w:p w14:paraId="38242E0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5</w:t>
            </w:r>
          </w:p>
        </w:tc>
        <w:tc>
          <w:tcPr>
            <w:tcW w:w="481" w:type="pct"/>
            <w:tcBorders>
              <w:top w:val="nil"/>
              <w:left w:val="nil"/>
              <w:bottom w:val="single" w:sz="4" w:space="0" w:color="EBF1DE"/>
              <w:right w:val="nil"/>
            </w:tcBorders>
            <w:shd w:val="clear" w:color="auto" w:fill="auto"/>
            <w:vAlign w:val="center"/>
          </w:tcPr>
          <w:p w14:paraId="5F07A46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94" w:type="pct"/>
            <w:tcBorders>
              <w:top w:val="nil"/>
              <w:left w:val="nil"/>
              <w:bottom w:val="single" w:sz="4" w:space="0" w:color="EBF1DE"/>
              <w:right w:val="nil"/>
            </w:tcBorders>
            <w:shd w:val="clear" w:color="auto" w:fill="auto"/>
            <w:vAlign w:val="center"/>
            <w:hideMark/>
          </w:tcPr>
          <w:p w14:paraId="433BE58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449D34B9"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3EC0E41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France</w:t>
            </w:r>
          </w:p>
        </w:tc>
        <w:tc>
          <w:tcPr>
            <w:tcW w:w="481" w:type="pct"/>
            <w:tcBorders>
              <w:top w:val="nil"/>
              <w:left w:val="nil"/>
              <w:bottom w:val="single" w:sz="4" w:space="0" w:color="EBF1DE"/>
              <w:right w:val="nil"/>
            </w:tcBorders>
            <w:shd w:val="clear" w:color="auto" w:fill="auto"/>
            <w:vAlign w:val="center"/>
          </w:tcPr>
          <w:p w14:paraId="08FA190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7D9FB60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3170E1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685A48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6005FD8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60DCE5A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156268C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tcPr>
          <w:p w14:paraId="7B5A1D2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4B1CC42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94" w:type="pct"/>
            <w:tcBorders>
              <w:top w:val="nil"/>
              <w:left w:val="nil"/>
              <w:bottom w:val="single" w:sz="4" w:space="0" w:color="EBF1DE"/>
              <w:right w:val="nil"/>
            </w:tcBorders>
            <w:shd w:val="clear" w:color="auto" w:fill="auto"/>
            <w:vAlign w:val="center"/>
            <w:hideMark/>
          </w:tcPr>
          <w:p w14:paraId="299E9A9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7C5787F3"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5DFC7AF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Germany</w:t>
            </w:r>
          </w:p>
        </w:tc>
        <w:tc>
          <w:tcPr>
            <w:tcW w:w="481" w:type="pct"/>
            <w:tcBorders>
              <w:top w:val="nil"/>
              <w:left w:val="nil"/>
              <w:bottom w:val="single" w:sz="4" w:space="0" w:color="EBF1DE"/>
              <w:right w:val="nil"/>
            </w:tcBorders>
            <w:shd w:val="clear" w:color="auto" w:fill="auto"/>
            <w:vAlign w:val="center"/>
          </w:tcPr>
          <w:p w14:paraId="3A05524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82" w:type="pct"/>
            <w:tcBorders>
              <w:top w:val="nil"/>
              <w:left w:val="nil"/>
              <w:bottom w:val="single" w:sz="4" w:space="0" w:color="EBF1DE"/>
              <w:right w:val="nil"/>
            </w:tcBorders>
            <w:shd w:val="clear" w:color="auto" w:fill="auto"/>
            <w:vAlign w:val="center"/>
          </w:tcPr>
          <w:p w14:paraId="7933639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p>
        </w:tc>
        <w:tc>
          <w:tcPr>
            <w:tcW w:w="481" w:type="pct"/>
            <w:tcBorders>
              <w:top w:val="nil"/>
              <w:left w:val="nil"/>
              <w:bottom w:val="single" w:sz="4" w:space="0" w:color="EBF1DE"/>
              <w:right w:val="nil"/>
            </w:tcBorders>
            <w:shd w:val="clear" w:color="auto" w:fill="auto"/>
            <w:vAlign w:val="center"/>
          </w:tcPr>
          <w:p w14:paraId="4381396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tcPr>
          <w:p w14:paraId="4F8312A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tcPr>
          <w:p w14:paraId="7270923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tcPr>
          <w:p w14:paraId="63A7707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2991C57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7</w:t>
            </w:r>
          </w:p>
        </w:tc>
        <w:tc>
          <w:tcPr>
            <w:tcW w:w="382" w:type="pct"/>
            <w:tcBorders>
              <w:top w:val="nil"/>
              <w:left w:val="nil"/>
              <w:bottom w:val="single" w:sz="4" w:space="0" w:color="EBF1DE"/>
              <w:right w:val="nil"/>
            </w:tcBorders>
            <w:shd w:val="clear" w:color="auto" w:fill="auto"/>
            <w:vAlign w:val="center"/>
          </w:tcPr>
          <w:p w14:paraId="5851505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481" w:type="pct"/>
            <w:tcBorders>
              <w:top w:val="nil"/>
              <w:left w:val="nil"/>
              <w:bottom w:val="single" w:sz="4" w:space="0" w:color="EBF1DE"/>
              <w:right w:val="nil"/>
            </w:tcBorders>
            <w:shd w:val="clear" w:color="auto" w:fill="auto"/>
            <w:vAlign w:val="center"/>
          </w:tcPr>
          <w:p w14:paraId="4283882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4</w:t>
            </w:r>
          </w:p>
        </w:tc>
        <w:tc>
          <w:tcPr>
            <w:tcW w:w="394" w:type="pct"/>
            <w:tcBorders>
              <w:top w:val="nil"/>
              <w:left w:val="nil"/>
              <w:bottom w:val="single" w:sz="4" w:space="0" w:color="EBF1DE"/>
              <w:right w:val="nil"/>
            </w:tcBorders>
            <w:shd w:val="clear" w:color="auto" w:fill="auto"/>
            <w:vAlign w:val="center"/>
            <w:hideMark/>
          </w:tcPr>
          <w:p w14:paraId="4B0AE74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1</w:t>
            </w:r>
          </w:p>
        </w:tc>
      </w:tr>
      <w:tr w:rsidR="00D87FFA" w:rsidRPr="000604BD" w14:paraId="6E3ACD7D"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45076A7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Spain</w:t>
            </w:r>
          </w:p>
        </w:tc>
        <w:tc>
          <w:tcPr>
            <w:tcW w:w="481" w:type="pct"/>
            <w:tcBorders>
              <w:top w:val="nil"/>
              <w:left w:val="nil"/>
              <w:bottom w:val="single" w:sz="4" w:space="0" w:color="EBF1DE"/>
              <w:right w:val="nil"/>
            </w:tcBorders>
            <w:shd w:val="clear" w:color="auto" w:fill="auto"/>
            <w:vAlign w:val="center"/>
          </w:tcPr>
          <w:p w14:paraId="488C345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tcPr>
          <w:p w14:paraId="45C1CB8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36A9913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223409E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416BA0A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8FE1A8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274D79C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62467A7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tcPr>
          <w:p w14:paraId="44D64FD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94" w:type="pct"/>
            <w:tcBorders>
              <w:top w:val="nil"/>
              <w:left w:val="nil"/>
              <w:bottom w:val="single" w:sz="4" w:space="0" w:color="EBF1DE"/>
              <w:right w:val="nil"/>
            </w:tcBorders>
            <w:shd w:val="clear" w:color="auto" w:fill="auto"/>
            <w:vAlign w:val="center"/>
            <w:hideMark/>
          </w:tcPr>
          <w:p w14:paraId="6CC21F6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64FD2A2C"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60EA1AF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Italy</w:t>
            </w:r>
          </w:p>
        </w:tc>
        <w:tc>
          <w:tcPr>
            <w:tcW w:w="481" w:type="pct"/>
            <w:tcBorders>
              <w:top w:val="nil"/>
              <w:left w:val="nil"/>
              <w:bottom w:val="single" w:sz="4" w:space="0" w:color="EBF1DE"/>
              <w:right w:val="nil"/>
            </w:tcBorders>
            <w:shd w:val="clear" w:color="auto" w:fill="auto"/>
            <w:vAlign w:val="center"/>
          </w:tcPr>
          <w:p w14:paraId="101A290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6A42E6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tcPr>
          <w:p w14:paraId="73952F3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3D4105E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028B6BD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39B6096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1793818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10DCB8A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tcPr>
          <w:p w14:paraId="7EA41F9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94" w:type="pct"/>
            <w:tcBorders>
              <w:top w:val="nil"/>
              <w:left w:val="nil"/>
              <w:bottom w:val="single" w:sz="4" w:space="0" w:color="EBF1DE"/>
              <w:right w:val="nil"/>
            </w:tcBorders>
            <w:shd w:val="clear" w:color="auto" w:fill="auto"/>
            <w:vAlign w:val="center"/>
            <w:hideMark/>
          </w:tcPr>
          <w:p w14:paraId="795C4CD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7B7EBB80"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5F47D83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Hungary</w:t>
            </w:r>
          </w:p>
        </w:tc>
        <w:tc>
          <w:tcPr>
            <w:tcW w:w="481" w:type="pct"/>
            <w:tcBorders>
              <w:top w:val="nil"/>
              <w:left w:val="nil"/>
              <w:bottom w:val="single" w:sz="4" w:space="0" w:color="EBF1DE"/>
              <w:right w:val="nil"/>
            </w:tcBorders>
            <w:shd w:val="clear" w:color="auto" w:fill="auto"/>
            <w:vAlign w:val="center"/>
          </w:tcPr>
          <w:p w14:paraId="623F787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tcPr>
          <w:p w14:paraId="37FD8B6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14D9D94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0470E04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95967D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75F2D2E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F92536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tcPr>
          <w:p w14:paraId="2B9705D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5BC6E39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94" w:type="pct"/>
            <w:tcBorders>
              <w:top w:val="nil"/>
              <w:left w:val="nil"/>
              <w:bottom w:val="single" w:sz="4" w:space="0" w:color="EBF1DE"/>
              <w:right w:val="nil"/>
            </w:tcBorders>
            <w:shd w:val="clear" w:color="auto" w:fill="auto"/>
            <w:vAlign w:val="center"/>
            <w:hideMark/>
          </w:tcPr>
          <w:p w14:paraId="7815E85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6717CEFD"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47EC076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Romania</w:t>
            </w:r>
          </w:p>
        </w:tc>
        <w:tc>
          <w:tcPr>
            <w:tcW w:w="481" w:type="pct"/>
            <w:tcBorders>
              <w:top w:val="nil"/>
              <w:left w:val="nil"/>
              <w:bottom w:val="single" w:sz="4" w:space="0" w:color="EBF1DE"/>
              <w:right w:val="nil"/>
            </w:tcBorders>
            <w:shd w:val="clear" w:color="auto" w:fill="auto"/>
            <w:vAlign w:val="center"/>
          </w:tcPr>
          <w:p w14:paraId="44E3BAA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6F7D5FA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37CB7D9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149D96F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CB579C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90D2D9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699AEE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tcPr>
          <w:p w14:paraId="77BD370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30F5427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3</w:t>
            </w:r>
          </w:p>
        </w:tc>
        <w:tc>
          <w:tcPr>
            <w:tcW w:w="394" w:type="pct"/>
            <w:tcBorders>
              <w:top w:val="nil"/>
              <w:left w:val="nil"/>
              <w:bottom w:val="single" w:sz="4" w:space="0" w:color="EBF1DE"/>
              <w:right w:val="nil"/>
            </w:tcBorders>
            <w:shd w:val="clear" w:color="auto" w:fill="auto"/>
            <w:vAlign w:val="center"/>
            <w:hideMark/>
          </w:tcPr>
          <w:p w14:paraId="4C0496B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3F9F722D"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176CA33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Netherlands</w:t>
            </w:r>
          </w:p>
        </w:tc>
        <w:tc>
          <w:tcPr>
            <w:tcW w:w="481" w:type="pct"/>
            <w:tcBorders>
              <w:top w:val="nil"/>
              <w:left w:val="nil"/>
              <w:bottom w:val="single" w:sz="4" w:space="0" w:color="EBF1DE"/>
              <w:right w:val="nil"/>
            </w:tcBorders>
            <w:shd w:val="clear" w:color="auto" w:fill="auto"/>
            <w:vAlign w:val="center"/>
          </w:tcPr>
          <w:p w14:paraId="3DBD5C2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tcPr>
          <w:p w14:paraId="248422D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C39B5E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4D0414F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tcPr>
          <w:p w14:paraId="30A43A0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82" w:type="pct"/>
            <w:tcBorders>
              <w:top w:val="nil"/>
              <w:left w:val="nil"/>
              <w:bottom w:val="single" w:sz="4" w:space="0" w:color="EBF1DE"/>
              <w:right w:val="nil"/>
            </w:tcBorders>
            <w:shd w:val="clear" w:color="auto" w:fill="auto"/>
            <w:vAlign w:val="center"/>
          </w:tcPr>
          <w:p w14:paraId="27537F5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4948905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9</w:t>
            </w:r>
          </w:p>
        </w:tc>
        <w:tc>
          <w:tcPr>
            <w:tcW w:w="382" w:type="pct"/>
            <w:tcBorders>
              <w:top w:val="nil"/>
              <w:left w:val="nil"/>
              <w:bottom w:val="single" w:sz="4" w:space="0" w:color="EBF1DE"/>
              <w:right w:val="nil"/>
            </w:tcBorders>
            <w:shd w:val="clear" w:color="auto" w:fill="auto"/>
            <w:vAlign w:val="center"/>
          </w:tcPr>
          <w:p w14:paraId="7FD6E0E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17EE2B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94" w:type="pct"/>
            <w:tcBorders>
              <w:top w:val="nil"/>
              <w:left w:val="nil"/>
              <w:bottom w:val="single" w:sz="4" w:space="0" w:color="EBF1DE"/>
              <w:right w:val="nil"/>
            </w:tcBorders>
            <w:shd w:val="clear" w:color="auto" w:fill="auto"/>
            <w:vAlign w:val="center"/>
            <w:hideMark/>
          </w:tcPr>
          <w:p w14:paraId="2BCBAC5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57C6AD35"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62EC09C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Belgium</w:t>
            </w:r>
          </w:p>
        </w:tc>
        <w:tc>
          <w:tcPr>
            <w:tcW w:w="481" w:type="pct"/>
            <w:tcBorders>
              <w:top w:val="nil"/>
              <w:left w:val="nil"/>
              <w:bottom w:val="nil"/>
              <w:right w:val="nil"/>
            </w:tcBorders>
            <w:shd w:val="clear" w:color="auto" w:fill="auto"/>
            <w:vAlign w:val="bottom"/>
          </w:tcPr>
          <w:p w14:paraId="143F100D" w14:textId="77777777" w:rsidR="00D87FFA" w:rsidRPr="000604BD" w:rsidRDefault="00D87FFA" w:rsidP="003C62AB">
            <w:pPr>
              <w:spacing w:after="0" w:line="240" w:lineRule="auto"/>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2577B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481" w:type="pct"/>
            <w:tcBorders>
              <w:top w:val="nil"/>
              <w:left w:val="nil"/>
              <w:bottom w:val="single" w:sz="4" w:space="0" w:color="EBF1DE"/>
              <w:right w:val="nil"/>
            </w:tcBorders>
            <w:shd w:val="clear" w:color="auto" w:fill="auto"/>
            <w:vAlign w:val="center"/>
          </w:tcPr>
          <w:p w14:paraId="012A6B0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358602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006DA0F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08C61A0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32E030C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tcPr>
          <w:p w14:paraId="5DBCA2F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28C4BD4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94" w:type="pct"/>
            <w:tcBorders>
              <w:top w:val="nil"/>
              <w:left w:val="nil"/>
              <w:bottom w:val="single" w:sz="4" w:space="0" w:color="EBF1DE"/>
              <w:right w:val="nil"/>
            </w:tcBorders>
            <w:shd w:val="clear" w:color="auto" w:fill="auto"/>
            <w:vAlign w:val="center"/>
            <w:hideMark/>
          </w:tcPr>
          <w:p w14:paraId="1E9F13C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w:t>
            </w:r>
          </w:p>
        </w:tc>
      </w:tr>
      <w:tr w:rsidR="00D87FFA" w:rsidRPr="000604BD" w14:paraId="3F256B29"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7BEFA40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Sweden</w:t>
            </w:r>
          </w:p>
        </w:tc>
        <w:tc>
          <w:tcPr>
            <w:tcW w:w="481" w:type="pct"/>
            <w:tcBorders>
              <w:top w:val="single" w:sz="4" w:space="0" w:color="EBF1DE"/>
              <w:left w:val="nil"/>
              <w:bottom w:val="single" w:sz="4" w:space="0" w:color="EBF1DE"/>
              <w:right w:val="nil"/>
            </w:tcBorders>
            <w:shd w:val="clear" w:color="auto" w:fill="auto"/>
            <w:vAlign w:val="center"/>
          </w:tcPr>
          <w:p w14:paraId="33741E8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08C3B1E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568CBFB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70A480D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71EE8C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6791A5F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5998612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45D4C58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0EAA9F2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1</w:t>
            </w:r>
          </w:p>
        </w:tc>
        <w:tc>
          <w:tcPr>
            <w:tcW w:w="394" w:type="pct"/>
            <w:tcBorders>
              <w:top w:val="nil"/>
              <w:left w:val="nil"/>
              <w:bottom w:val="single" w:sz="4" w:space="0" w:color="EBF1DE"/>
              <w:right w:val="nil"/>
            </w:tcBorders>
            <w:shd w:val="clear" w:color="auto" w:fill="auto"/>
            <w:vAlign w:val="center"/>
            <w:hideMark/>
          </w:tcPr>
          <w:p w14:paraId="42A7EC6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1</w:t>
            </w:r>
          </w:p>
        </w:tc>
      </w:tr>
      <w:tr w:rsidR="00D87FFA" w:rsidRPr="000604BD" w14:paraId="0B867BC2" w14:textId="77777777" w:rsidTr="003C62AB">
        <w:trPr>
          <w:trHeight w:val="170"/>
        </w:trPr>
        <w:tc>
          <w:tcPr>
            <w:tcW w:w="672" w:type="pct"/>
            <w:tcBorders>
              <w:top w:val="nil"/>
              <w:left w:val="nil"/>
              <w:bottom w:val="single" w:sz="4" w:space="0" w:color="EBF1DE"/>
              <w:right w:val="nil"/>
            </w:tcBorders>
            <w:shd w:val="clear" w:color="auto" w:fill="auto"/>
            <w:vAlign w:val="center"/>
            <w:hideMark/>
          </w:tcPr>
          <w:p w14:paraId="198CD6C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Other countries</w:t>
            </w:r>
          </w:p>
        </w:tc>
        <w:tc>
          <w:tcPr>
            <w:tcW w:w="481" w:type="pct"/>
            <w:tcBorders>
              <w:top w:val="nil"/>
              <w:left w:val="nil"/>
              <w:bottom w:val="single" w:sz="4" w:space="0" w:color="EBF1DE"/>
              <w:right w:val="nil"/>
            </w:tcBorders>
            <w:shd w:val="clear" w:color="auto" w:fill="auto"/>
            <w:vAlign w:val="center"/>
          </w:tcPr>
          <w:p w14:paraId="4B17F2F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70D1F9A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481" w:type="pct"/>
            <w:tcBorders>
              <w:top w:val="nil"/>
              <w:left w:val="nil"/>
              <w:bottom w:val="single" w:sz="4" w:space="0" w:color="EBF1DE"/>
              <w:right w:val="nil"/>
            </w:tcBorders>
            <w:shd w:val="clear" w:color="auto" w:fill="auto"/>
            <w:vAlign w:val="center"/>
          </w:tcPr>
          <w:p w14:paraId="42634D6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82" w:type="pct"/>
            <w:tcBorders>
              <w:top w:val="nil"/>
              <w:left w:val="nil"/>
              <w:bottom w:val="single" w:sz="4" w:space="0" w:color="EBF1DE"/>
              <w:right w:val="nil"/>
            </w:tcBorders>
            <w:shd w:val="clear" w:color="auto" w:fill="auto"/>
            <w:vAlign w:val="center"/>
          </w:tcPr>
          <w:p w14:paraId="769DBBF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1C3FDDA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382" w:type="pct"/>
            <w:tcBorders>
              <w:top w:val="nil"/>
              <w:left w:val="nil"/>
              <w:bottom w:val="single" w:sz="4" w:space="0" w:color="EBF1DE"/>
              <w:right w:val="nil"/>
            </w:tcBorders>
            <w:shd w:val="clear" w:color="auto" w:fill="auto"/>
            <w:vAlign w:val="center"/>
          </w:tcPr>
          <w:p w14:paraId="59260B4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238B9FE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5</w:t>
            </w:r>
          </w:p>
        </w:tc>
        <w:tc>
          <w:tcPr>
            <w:tcW w:w="382" w:type="pct"/>
            <w:tcBorders>
              <w:top w:val="nil"/>
              <w:left w:val="nil"/>
              <w:bottom w:val="single" w:sz="4" w:space="0" w:color="EBF1DE"/>
              <w:right w:val="nil"/>
            </w:tcBorders>
            <w:shd w:val="clear" w:color="auto" w:fill="auto"/>
            <w:vAlign w:val="center"/>
          </w:tcPr>
          <w:p w14:paraId="3E83079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481" w:type="pct"/>
            <w:tcBorders>
              <w:top w:val="nil"/>
              <w:left w:val="nil"/>
              <w:bottom w:val="single" w:sz="4" w:space="0" w:color="EBF1DE"/>
              <w:right w:val="nil"/>
            </w:tcBorders>
            <w:shd w:val="clear" w:color="auto" w:fill="auto"/>
            <w:vAlign w:val="center"/>
          </w:tcPr>
          <w:p w14:paraId="43C7D49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2</w:t>
            </w:r>
          </w:p>
        </w:tc>
        <w:tc>
          <w:tcPr>
            <w:tcW w:w="394" w:type="pct"/>
            <w:tcBorders>
              <w:top w:val="nil"/>
              <w:left w:val="nil"/>
              <w:bottom w:val="single" w:sz="4" w:space="0" w:color="EBF1DE"/>
              <w:right w:val="nil"/>
            </w:tcBorders>
            <w:shd w:val="clear" w:color="auto" w:fill="auto"/>
            <w:vAlign w:val="center"/>
            <w:hideMark/>
          </w:tcPr>
          <w:p w14:paraId="6432CA4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 3</w:t>
            </w:r>
          </w:p>
        </w:tc>
      </w:tr>
    </w:tbl>
    <w:p w14:paraId="414667EA" w14:textId="77777777" w:rsidR="00D87FFA" w:rsidRPr="000604BD" w:rsidRDefault="00D87FFA" w:rsidP="00D87FFA">
      <w:pPr>
        <w:spacing w:before="120" w:after="0"/>
        <w:jc w:val="center"/>
        <w:rPr>
          <w:rFonts w:ascii="Garamond" w:hAnsi="Garamond" w:cs="Times New Roman"/>
          <w:sz w:val="16"/>
          <w:szCs w:val="16"/>
          <w:lang w:val="en-GB"/>
        </w:rPr>
      </w:pPr>
      <w:r w:rsidRPr="000604BD">
        <w:rPr>
          <w:rFonts w:ascii="Garamond" w:hAnsi="Garamond" w:cs="Times New Roman"/>
          <w:sz w:val="16"/>
          <w:szCs w:val="16"/>
          <w:lang w:val="en-GB"/>
        </w:rPr>
        <w:t>Source: EMENDATA</w:t>
      </w:r>
    </w:p>
    <w:p w14:paraId="15BB853E" w14:textId="77777777" w:rsidR="00165E49" w:rsidRDefault="00165E49">
      <w:pPr>
        <w:rPr>
          <w:rFonts w:ascii="Garamond" w:hAnsi="Garamond" w:cs="Times New Roman"/>
          <w:b/>
          <w:sz w:val="16"/>
          <w:szCs w:val="16"/>
          <w:lang w:val="en-GB"/>
        </w:rPr>
      </w:pPr>
      <w:r>
        <w:rPr>
          <w:rFonts w:ascii="Garamond" w:hAnsi="Garamond" w:cs="Times New Roman"/>
          <w:b/>
          <w:sz w:val="16"/>
          <w:szCs w:val="16"/>
          <w:lang w:val="en-GB"/>
        </w:rPr>
        <w:br w:type="page"/>
      </w:r>
    </w:p>
    <w:p w14:paraId="2CAE8B7A" w14:textId="5A0BE776" w:rsidR="00D87FFA" w:rsidRPr="006729C6" w:rsidRDefault="00D87FFA" w:rsidP="00D87FFA">
      <w:pPr>
        <w:spacing w:after="0"/>
        <w:jc w:val="center"/>
        <w:rPr>
          <w:rFonts w:ascii="Garamond" w:hAnsi="Garamond" w:cs="Times New Roman"/>
          <w:b/>
          <w:sz w:val="16"/>
          <w:szCs w:val="16"/>
          <w:lang w:val="en-GB"/>
        </w:rPr>
      </w:pPr>
      <w:r w:rsidRPr="006729C6">
        <w:rPr>
          <w:rFonts w:ascii="Garamond" w:hAnsi="Garamond" w:cs="Times New Roman"/>
          <w:b/>
          <w:sz w:val="16"/>
          <w:szCs w:val="16"/>
          <w:lang w:val="en-GB"/>
        </w:rPr>
        <w:lastRenderedPageBreak/>
        <w:t xml:space="preserve">Table </w:t>
      </w:r>
      <w:r w:rsidR="006729C6" w:rsidRPr="006729C6">
        <w:rPr>
          <w:rFonts w:ascii="Garamond" w:hAnsi="Garamond" w:cs="Times New Roman"/>
          <w:b/>
          <w:sz w:val="16"/>
          <w:szCs w:val="16"/>
          <w:lang w:val="en-GB"/>
        </w:rPr>
        <w:t>6</w:t>
      </w:r>
      <w:r w:rsidRPr="006729C6">
        <w:rPr>
          <w:rFonts w:ascii="Garamond" w:hAnsi="Garamond" w:cs="Times New Roman"/>
          <w:b/>
          <w:sz w:val="16"/>
          <w:szCs w:val="16"/>
          <w:lang w:val="en-GB"/>
        </w:rPr>
        <w:t xml:space="preserve"> Top 5 Chinese and Indian groups: group </w:t>
      </w:r>
      <w:r w:rsidR="00BD57CA" w:rsidRPr="006729C6">
        <w:rPr>
          <w:rFonts w:ascii="Garamond" w:hAnsi="Garamond" w:cs="Times New Roman"/>
          <w:b/>
          <w:sz w:val="16"/>
          <w:szCs w:val="16"/>
          <w:lang w:val="en-GB"/>
        </w:rPr>
        <w:t>and</w:t>
      </w:r>
      <w:r w:rsidRPr="006729C6">
        <w:rPr>
          <w:rFonts w:ascii="Garamond" w:hAnsi="Garamond" w:cs="Times New Roman"/>
          <w:b/>
          <w:sz w:val="16"/>
          <w:szCs w:val="16"/>
          <w:lang w:val="en-GB"/>
        </w:rPr>
        <w:t xml:space="preserve"> subsidiaries’ sector belonging</w:t>
      </w:r>
    </w:p>
    <w:tbl>
      <w:tblPr>
        <w:tblW w:w="5000" w:type="pct"/>
        <w:tblCellMar>
          <w:left w:w="70" w:type="dxa"/>
          <w:right w:w="70" w:type="dxa"/>
        </w:tblCellMar>
        <w:tblLook w:val="04A0" w:firstRow="1" w:lastRow="0" w:firstColumn="1" w:lastColumn="0" w:noHBand="0" w:noVBand="1"/>
      </w:tblPr>
      <w:tblGrid>
        <w:gridCol w:w="2164"/>
        <w:gridCol w:w="1544"/>
        <w:gridCol w:w="1600"/>
        <w:gridCol w:w="1261"/>
        <w:gridCol w:w="1525"/>
        <w:gridCol w:w="1544"/>
      </w:tblGrid>
      <w:tr w:rsidR="00D87FFA" w:rsidRPr="0068747F" w14:paraId="150D552C" w14:textId="77777777" w:rsidTr="003C62AB">
        <w:trPr>
          <w:trHeight w:val="851"/>
        </w:trPr>
        <w:tc>
          <w:tcPr>
            <w:tcW w:w="1123" w:type="pct"/>
            <w:tcBorders>
              <w:top w:val="nil"/>
              <w:left w:val="nil"/>
              <w:bottom w:val="nil"/>
              <w:right w:val="nil"/>
            </w:tcBorders>
            <w:shd w:val="clear" w:color="76933C" w:fill="A6A6A6"/>
            <w:vAlign w:val="center"/>
            <w:hideMark/>
          </w:tcPr>
          <w:p w14:paraId="3F29A116"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Chinese Group</w:t>
            </w:r>
          </w:p>
        </w:tc>
        <w:tc>
          <w:tcPr>
            <w:tcW w:w="801" w:type="pct"/>
            <w:tcBorders>
              <w:top w:val="nil"/>
              <w:left w:val="nil"/>
              <w:bottom w:val="nil"/>
              <w:right w:val="nil"/>
            </w:tcBorders>
            <w:shd w:val="clear" w:color="76933C" w:fill="A6A6A6"/>
            <w:vAlign w:val="center"/>
            <w:hideMark/>
          </w:tcPr>
          <w:p w14:paraId="3B1593B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Huawei Technologies</w:t>
            </w:r>
          </w:p>
        </w:tc>
        <w:tc>
          <w:tcPr>
            <w:tcW w:w="830" w:type="pct"/>
            <w:tcBorders>
              <w:top w:val="nil"/>
              <w:left w:val="nil"/>
              <w:bottom w:val="nil"/>
              <w:right w:val="nil"/>
            </w:tcBorders>
            <w:shd w:val="clear" w:color="76933C" w:fill="A6A6A6"/>
            <w:vAlign w:val="center"/>
            <w:hideMark/>
          </w:tcPr>
          <w:p w14:paraId="45CFF12D"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ZTE</w:t>
            </w:r>
          </w:p>
        </w:tc>
        <w:tc>
          <w:tcPr>
            <w:tcW w:w="654" w:type="pct"/>
            <w:tcBorders>
              <w:top w:val="nil"/>
              <w:left w:val="nil"/>
              <w:bottom w:val="nil"/>
              <w:right w:val="nil"/>
            </w:tcBorders>
            <w:shd w:val="clear" w:color="76933C" w:fill="A6A6A6"/>
            <w:vAlign w:val="center"/>
            <w:hideMark/>
          </w:tcPr>
          <w:p w14:paraId="55641932"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China National Chemical (ChemChina)</w:t>
            </w:r>
          </w:p>
        </w:tc>
        <w:tc>
          <w:tcPr>
            <w:tcW w:w="791" w:type="pct"/>
            <w:tcBorders>
              <w:top w:val="nil"/>
              <w:left w:val="nil"/>
              <w:bottom w:val="nil"/>
              <w:right w:val="nil"/>
            </w:tcBorders>
            <w:shd w:val="clear" w:color="76933C" w:fill="A6A6A6"/>
            <w:vAlign w:val="center"/>
            <w:hideMark/>
          </w:tcPr>
          <w:p w14:paraId="7C2788CC"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Industrial and Commercial Bank of China (ICBC)</w:t>
            </w:r>
          </w:p>
        </w:tc>
        <w:tc>
          <w:tcPr>
            <w:tcW w:w="801" w:type="pct"/>
            <w:tcBorders>
              <w:top w:val="nil"/>
              <w:left w:val="nil"/>
              <w:bottom w:val="nil"/>
              <w:right w:val="nil"/>
            </w:tcBorders>
            <w:shd w:val="clear" w:color="76933C" w:fill="A6A6A6"/>
            <w:vAlign w:val="center"/>
            <w:hideMark/>
          </w:tcPr>
          <w:p w14:paraId="13B8010F"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eastAsia="it-IT"/>
              </w:rPr>
              <w:t>Shanghai Automotive Industry Corporation (SAIC)</w:t>
            </w:r>
          </w:p>
        </w:tc>
      </w:tr>
      <w:tr w:rsidR="00D87FFA" w:rsidRPr="000604BD" w14:paraId="217B278B" w14:textId="77777777" w:rsidTr="003C62AB">
        <w:trPr>
          <w:trHeight w:val="480"/>
        </w:trPr>
        <w:tc>
          <w:tcPr>
            <w:tcW w:w="1123" w:type="pct"/>
            <w:tcBorders>
              <w:top w:val="nil"/>
              <w:left w:val="nil"/>
              <w:bottom w:val="nil"/>
              <w:right w:val="nil"/>
            </w:tcBorders>
            <w:shd w:val="clear" w:color="auto" w:fill="auto"/>
            <w:vAlign w:val="center"/>
            <w:hideMark/>
          </w:tcPr>
          <w:p w14:paraId="3B893FB8"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Group sector</w:t>
            </w:r>
          </w:p>
        </w:tc>
        <w:tc>
          <w:tcPr>
            <w:tcW w:w="801" w:type="pct"/>
            <w:tcBorders>
              <w:top w:val="nil"/>
              <w:left w:val="nil"/>
              <w:bottom w:val="nil"/>
              <w:right w:val="nil"/>
            </w:tcBorders>
            <w:shd w:val="clear" w:color="auto" w:fill="auto"/>
            <w:vAlign w:val="center"/>
            <w:hideMark/>
          </w:tcPr>
          <w:p w14:paraId="1B5E3B4E"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Communications</w:t>
            </w:r>
          </w:p>
        </w:tc>
        <w:tc>
          <w:tcPr>
            <w:tcW w:w="830" w:type="pct"/>
            <w:tcBorders>
              <w:top w:val="nil"/>
              <w:left w:val="nil"/>
              <w:bottom w:val="nil"/>
              <w:right w:val="nil"/>
            </w:tcBorders>
            <w:shd w:val="clear" w:color="auto" w:fill="auto"/>
            <w:vAlign w:val="center"/>
            <w:hideMark/>
          </w:tcPr>
          <w:p w14:paraId="0915E16D"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Communications</w:t>
            </w:r>
          </w:p>
        </w:tc>
        <w:tc>
          <w:tcPr>
            <w:tcW w:w="654" w:type="pct"/>
            <w:tcBorders>
              <w:top w:val="nil"/>
              <w:left w:val="nil"/>
              <w:bottom w:val="nil"/>
              <w:right w:val="nil"/>
            </w:tcBorders>
            <w:shd w:val="clear" w:color="auto" w:fill="auto"/>
            <w:vAlign w:val="center"/>
            <w:hideMark/>
          </w:tcPr>
          <w:p w14:paraId="2775CE05"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Chemicals</w:t>
            </w:r>
          </w:p>
        </w:tc>
        <w:tc>
          <w:tcPr>
            <w:tcW w:w="791" w:type="pct"/>
            <w:tcBorders>
              <w:top w:val="nil"/>
              <w:left w:val="nil"/>
              <w:bottom w:val="nil"/>
              <w:right w:val="nil"/>
            </w:tcBorders>
            <w:shd w:val="clear" w:color="auto" w:fill="auto"/>
            <w:vAlign w:val="center"/>
            <w:hideMark/>
          </w:tcPr>
          <w:p w14:paraId="6D6D4ADD"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Financial Services</w:t>
            </w:r>
          </w:p>
        </w:tc>
        <w:tc>
          <w:tcPr>
            <w:tcW w:w="801" w:type="pct"/>
            <w:tcBorders>
              <w:top w:val="nil"/>
              <w:left w:val="nil"/>
              <w:bottom w:val="nil"/>
              <w:right w:val="nil"/>
            </w:tcBorders>
            <w:shd w:val="clear" w:color="auto" w:fill="auto"/>
            <w:vAlign w:val="center"/>
            <w:hideMark/>
          </w:tcPr>
          <w:p w14:paraId="14DDF134"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Automotive OEM</w:t>
            </w:r>
          </w:p>
        </w:tc>
      </w:tr>
      <w:tr w:rsidR="00D87FFA" w:rsidRPr="000604BD" w14:paraId="0D901935" w14:textId="77777777" w:rsidTr="003C62AB">
        <w:trPr>
          <w:trHeight w:val="300"/>
        </w:trPr>
        <w:tc>
          <w:tcPr>
            <w:tcW w:w="1123" w:type="pct"/>
            <w:tcBorders>
              <w:top w:val="nil"/>
              <w:left w:val="nil"/>
              <w:bottom w:val="nil"/>
              <w:right w:val="nil"/>
            </w:tcBorders>
            <w:shd w:val="clear" w:color="auto" w:fill="auto"/>
            <w:vAlign w:val="center"/>
            <w:hideMark/>
          </w:tcPr>
          <w:p w14:paraId="0CA8B632" w14:textId="77777777" w:rsidR="00D87FFA" w:rsidRPr="000604BD" w:rsidRDefault="00D87FFA" w:rsidP="003C62AB">
            <w:pPr>
              <w:spacing w:after="0" w:line="240" w:lineRule="auto"/>
              <w:rPr>
                <w:rFonts w:ascii="Garamond" w:eastAsia="Times New Roman" w:hAnsi="Garamond" w:cs="Times New Roman"/>
                <w:sz w:val="16"/>
                <w:szCs w:val="16"/>
                <w:lang w:val="en-GB" w:eastAsia="it-IT"/>
              </w:rPr>
            </w:pPr>
            <w:r w:rsidRPr="000604BD">
              <w:rPr>
                <w:rFonts w:ascii="Garamond" w:eastAsia="Times New Roman" w:hAnsi="Garamond" w:cs="Times New Roman"/>
                <w:sz w:val="16"/>
                <w:szCs w:val="16"/>
                <w:lang w:val="en-GB" w:eastAsia="it-IT"/>
              </w:rPr>
              <w:t>Sector of investment:</w:t>
            </w:r>
          </w:p>
        </w:tc>
        <w:tc>
          <w:tcPr>
            <w:tcW w:w="801" w:type="pct"/>
            <w:tcBorders>
              <w:top w:val="nil"/>
              <w:left w:val="nil"/>
              <w:bottom w:val="nil"/>
              <w:right w:val="nil"/>
            </w:tcBorders>
            <w:shd w:val="clear" w:color="auto" w:fill="auto"/>
            <w:vAlign w:val="center"/>
            <w:hideMark/>
          </w:tcPr>
          <w:p w14:paraId="3F626691"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830" w:type="pct"/>
            <w:tcBorders>
              <w:top w:val="nil"/>
              <w:left w:val="nil"/>
              <w:bottom w:val="nil"/>
              <w:right w:val="nil"/>
            </w:tcBorders>
            <w:shd w:val="clear" w:color="auto" w:fill="auto"/>
            <w:vAlign w:val="center"/>
            <w:hideMark/>
          </w:tcPr>
          <w:p w14:paraId="3D05B0AD"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654" w:type="pct"/>
            <w:tcBorders>
              <w:top w:val="nil"/>
              <w:left w:val="nil"/>
              <w:bottom w:val="nil"/>
              <w:right w:val="nil"/>
            </w:tcBorders>
            <w:shd w:val="clear" w:color="auto" w:fill="auto"/>
            <w:vAlign w:val="center"/>
            <w:hideMark/>
          </w:tcPr>
          <w:p w14:paraId="1E57BB2F"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791" w:type="pct"/>
            <w:tcBorders>
              <w:top w:val="nil"/>
              <w:left w:val="nil"/>
              <w:bottom w:val="nil"/>
              <w:right w:val="nil"/>
            </w:tcBorders>
            <w:shd w:val="clear" w:color="auto" w:fill="auto"/>
            <w:vAlign w:val="center"/>
            <w:hideMark/>
          </w:tcPr>
          <w:p w14:paraId="26B4C7DA"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801" w:type="pct"/>
            <w:tcBorders>
              <w:top w:val="nil"/>
              <w:left w:val="nil"/>
              <w:bottom w:val="nil"/>
              <w:right w:val="nil"/>
            </w:tcBorders>
            <w:shd w:val="clear" w:color="auto" w:fill="auto"/>
            <w:vAlign w:val="center"/>
            <w:hideMark/>
          </w:tcPr>
          <w:p w14:paraId="0063BE81"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r>
      <w:tr w:rsidR="00D87FFA" w:rsidRPr="000604BD" w14:paraId="28FDA3D9" w14:textId="77777777" w:rsidTr="003C62AB">
        <w:trPr>
          <w:trHeight w:val="300"/>
        </w:trPr>
        <w:tc>
          <w:tcPr>
            <w:tcW w:w="1123" w:type="pct"/>
            <w:tcBorders>
              <w:top w:val="nil"/>
              <w:left w:val="nil"/>
              <w:bottom w:val="nil"/>
              <w:right w:val="nil"/>
            </w:tcBorders>
            <w:shd w:val="clear" w:color="auto" w:fill="auto"/>
            <w:vAlign w:val="center"/>
            <w:hideMark/>
          </w:tcPr>
          <w:p w14:paraId="6C23BE86"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Automotive OEM</w:t>
            </w:r>
          </w:p>
        </w:tc>
        <w:tc>
          <w:tcPr>
            <w:tcW w:w="801" w:type="pct"/>
            <w:tcBorders>
              <w:top w:val="nil"/>
              <w:left w:val="nil"/>
              <w:bottom w:val="nil"/>
              <w:right w:val="nil"/>
            </w:tcBorders>
            <w:shd w:val="clear" w:color="auto" w:fill="auto"/>
            <w:vAlign w:val="center"/>
            <w:hideMark/>
          </w:tcPr>
          <w:p w14:paraId="325112B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6B4717F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2170699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791" w:type="pct"/>
            <w:tcBorders>
              <w:top w:val="nil"/>
              <w:left w:val="nil"/>
              <w:bottom w:val="nil"/>
              <w:right w:val="nil"/>
            </w:tcBorders>
            <w:shd w:val="clear" w:color="auto" w:fill="auto"/>
            <w:vAlign w:val="center"/>
            <w:hideMark/>
          </w:tcPr>
          <w:p w14:paraId="70901C5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639D6A23"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r>
      <w:tr w:rsidR="00D87FFA" w:rsidRPr="000604BD" w14:paraId="5A076F85" w14:textId="77777777" w:rsidTr="003C62AB">
        <w:trPr>
          <w:trHeight w:val="300"/>
        </w:trPr>
        <w:tc>
          <w:tcPr>
            <w:tcW w:w="1123" w:type="pct"/>
            <w:tcBorders>
              <w:top w:val="nil"/>
              <w:left w:val="nil"/>
              <w:bottom w:val="nil"/>
              <w:right w:val="nil"/>
            </w:tcBorders>
            <w:shd w:val="clear" w:color="auto" w:fill="auto"/>
            <w:vAlign w:val="center"/>
            <w:hideMark/>
          </w:tcPr>
          <w:p w14:paraId="25837B39"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Chemicals</w:t>
            </w:r>
          </w:p>
        </w:tc>
        <w:tc>
          <w:tcPr>
            <w:tcW w:w="801" w:type="pct"/>
            <w:tcBorders>
              <w:top w:val="nil"/>
              <w:left w:val="nil"/>
              <w:bottom w:val="nil"/>
              <w:right w:val="nil"/>
            </w:tcBorders>
            <w:shd w:val="clear" w:color="auto" w:fill="auto"/>
            <w:vAlign w:val="center"/>
            <w:hideMark/>
          </w:tcPr>
          <w:p w14:paraId="401B06C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67E109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3F36F06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791" w:type="pct"/>
            <w:tcBorders>
              <w:top w:val="nil"/>
              <w:left w:val="nil"/>
              <w:bottom w:val="nil"/>
              <w:right w:val="nil"/>
            </w:tcBorders>
            <w:shd w:val="clear" w:color="auto" w:fill="auto"/>
            <w:vAlign w:val="center"/>
            <w:hideMark/>
          </w:tcPr>
          <w:p w14:paraId="39B0BAD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4BFD934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267205C2" w14:textId="77777777" w:rsidTr="003C62AB">
        <w:trPr>
          <w:trHeight w:val="300"/>
        </w:trPr>
        <w:tc>
          <w:tcPr>
            <w:tcW w:w="1123" w:type="pct"/>
            <w:tcBorders>
              <w:top w:val="nil"/>
              <w:left w:val="nil"/>
              <w:bottom w:val="nil"/>
              <w:right w:val="nil"/>
            </w:tcBorders>
            <w:shd w:val="clear" w:color="auto" w:fill="auto"/>
            <w:vAlign w:val="center"/>
            <w:hideMark/>
          </w:tcPr>
          <w:p w14:paraId="6A4E16A8"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Communications</w:t>
            </w:r>
          </w:p>
        </w:tc>
        <w:tc>
          <w:tcPr>
            <w:tcW w:w="801" w:type="pct"/>
            <w:tcBorders>
              <w:top w:val="nil"/>
              <w:left w:val="nil"/>
              <w:bottom w:val="nil"/>
              <w:right w:val="nil"/>
            </w:tcBorders>
            <w:shd w:val="clear" w:color="auto" w:fill="auto"/>
            <w:vAlign w:val="center"/>
            <w:hideMark/>
          </w:tcPr>
          <w:p w14:paraId="50C826F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830" w:type="pct"/>
            <w:tcBorders>
              <w:top w:val="nil"/>
              <w:left w:val="nil"/>
              <w:bottom w:val="nil"/>
              <w:right w:val="nil"/>
            </w:tcBorders>
            <w:shd w:val="clear" w:color="auto" w:fill="auto"/>
            <w:vAlign w:val="center"/>
            <w:hideMark/>
          </w:tcPr>
          <w:p w14:paraId="298B95D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654" w:type="pct"/>
            <w:tcBorders>
              <w:top w:val="nil"/>
              <w:left w:val="nil"/>
              <w:bottom w:val="nil"/>
              <w:right w:val="nil"/>
            </w:tcBorders>
            <w:shd w:val="clear" w:color="auto" w:fill="auto"/>
            <w:vAlign w:val="center"/>
            <w:hideMark/>
          </w:tcPr>
          <w:p w14:paraId="6B00373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791" w:type="pct"/>
            <w:tcBorders>
              <w:top w:val="nil"/>
              <w:left w:val="nil"/>
              <w:bottom w:val="nil"/>
              <w:right w:val="nil"/>
            </w:tcBorders>
            <w:shd w:val="clear" w:color="auto" w:fill="auto"/>
            <w:vAlign w:val="center"/>
            <w:hideMark/>
          </w:tcPr>
          <w:p w14:paraId="0253183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48D4CAB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2112E408" w14:textId="77777777" w:rsidTr="003C62AB">
        <w:trPr>
          <w:trHeight w:val="300"/>
        </w:trPr>
        <w:tc>
          <w:tcPr>
            <w:tcW w:w="1123" w:type="pct"/>
            <w:tcBorders>
              <w:top w:val="nil"/>
              <w:left w:val="nil"/>
              <w:bottom w:val="nil"/>
              <w:right w:val="nil"/>
            </w:tcBorders>
            <w:shd w:val="clear" w:color="auto" w:fill="auto"/>
            <w:vAlign w:val="center"/>
            <w:hideMark/>
          </w:tcPr>
          <w:p w14:paraId="7F53B931"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Electronic Components</w:t>
            </w:r>
          </w:p>
        </w:tc>
        <w:tc>
          <w:tcPr>
            <w:tcW w:w="801" w:type="pct"/>
            <w:tcBorders>
              <w:top w:val="nil"/>
              <w:left w:val="nil"/>
              <w:bottom w:val="nil"/>
              <w:right w:val="nil"/>
            </w:tcBorders>
            <w:shd w:val="clear" w:color="auto" w:fill="auto"/>
            <w:vAlign w:val="center"/>
            <w:hideMark/>
          </w:tcPr>
          <w:p w14:paraId="49F4853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44A73E8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654" w:type="pct"/>
            <w:tcBorders>
              <w:top w:val="nil"/>
              <w:left w:val="nil"/>
              <w:bottom w:val="nil"/>
              <w:right w:val="nil"/>
            </w:tcBorders>
            <w:shd w:val="clear" w:color="auto" w:fill="auto"/>
            <w:vAlign w:val="center"/>
            <w:hideMark/>
          </w:tcPr>
          <w:p w14:paraId="5F17DAE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791" w:type="pct"/>
            <w:tcBorders>
              <w:top w:val="nil"/>
              <w:left w:val="nil"/>
              <w:bottom w:val="nil"/>
              <w:right w:val="nil"/>
            </w:tcBorders>
            <w:shd w:val="clear" w:color="auto" w:fill="auto"/>
            <w:vAlign w:val="center"/>
            <w:hideMark/>
          </w:tcPr>
          <w:p w14:paraId="3135996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704BA55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601DB7A7" w14:textId="77777777" w:rsidTr="003C62AB">
        <w:trPr>
          <w:trHeight w:val="300"/>
        </w:trPr>
        <w:tc>
          <w:tcPr>
            <w:tcW w:w="1123" w:type="pct"/>
            <w:tcBorders>
              <w:top w:val="nil"/>
              <w:left w:val="nil"/>
              <w:bottom w:val="nil"/>
              <w:right w:val="nil"/>
            </w:tcBorders>
            <w:shd w:val="clear" w:color="auto" w:fill="auto"/>
            <w:vAlign w:val="center"/>
            <w:hideMark/>
          </w:tcPr>
          <w:p w14:paraId="6CC2D042"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Financial Services</w:t>
            </w:r>
          </w:p>
        </w:tc>
        <w:tc>
          <w:tcPr>
            <w:tcW w:w="801" w:type="pct"/>
            <w:tcBorders>
              <w:top w:val="nil"/>
              <w:left w:val="nil"/>
              <w:bottom w:val="nil"/>
              <w:right w:val="nil"/>
            </w:tcBorders>
            <w:shd w:val="clear" w:color="auto" w:fill="auto"/>
            <w:vAlign w:val="center"/>
            <w:hideMark/>
          </w:tcPr>
          <w:p w14:paraId="08BC6D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3FC2060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116EAA7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791" w:type="pct"/>
            <w:tcBorders>
              <w:top w:val="nil"/>
              <w:left w:val="nil"/>
              <w:bottom w:val="nil"/>
              <w:right w:val="nil"/>
            </w:tcBorders>
            <w:shd w:val="clear" w:color="auto" w:fill="auto"/>
            <w:vAlign w:val="center"/>
            <w:hideMark/>
          </w:tcPr>
          <w:p w14:paraId="5D8E623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801" w:type="pct"/>
            <w:tcBorders>
              <w:top w:val="nil"/>
              <w:left w:val="nil"/>
              <w:bottom w:val="nil"/>
              <w:right w:val="nil"/>
            </w:tcBorders>
            <w:shd w:val="clear" w:color="auto" w:fill="auto"/>
            <w:vAlign w:val="center"/>
            <w:hideMark/>
          </w:tcPr>
          <w:p w14:paraId="3A5B6AD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r>
      <w:tr w:rsidR="00D87FFA" w:rsidRPr="000604BD" w14:paraId="692763FF" w14:textId="77777777" w:rsidTr="003C62AB">
        <w:trPr>
          <w:trHeight w:val="300"/>
        </w:trPr>
        <w:tc>
          <w:tcPr>
            <w:tcW w:w="1123" w:type="pct"/>
            <w:tcBorders>
              <w:top w:val="nil"/>
              <w:left w:val="nil"/>
              <w:bottom w:val="nil"/>
              <w:right w:val="nil"/>
            </w:tcBorders>
            <w:shd w:val="clear" w:color="auto" w:fill="auto"/>
            <w:vAlign w:val="center"/>
            <w:hideMark/>
          </w:tcPr>
          <w:p w14:paraId="6F1B78CD"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Plastics</w:t>
            </w:r>
          </w:p>
        </w:tc>
        <w:tc>
          <w:tcPr>
            <w:tcW w:w="801" w:type="pct"/>
            <w:tcBorders>
              <w:top w:val="nil"/>
              <w:left w:val="nil"/>
              <w:bottom w:val="nil"/>
              <w:right w:val="nil"/>
            </w:tcBorders>
            <w:shd w:val="clear" w:color="auto" w:fill="auto"/>
            <w:vAlign w:val="center"/>
            <w:hideMark/>
          </w:tcPr>
          <w:p w14:paraId="0BF6495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02681B4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6EEAF44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791" w:type="pct"/>
            <w:tcBorders>
              <w:top w:val="nil"/>
              <w:left w:val="nil"/>
              <w:bottom w:val="nil"/>
              <w:right w:val="nil"/>
            </w:tcBorders>
            <w:shd w:val="clear" w:color="auto" w:fill="auto"/>
            <w:vAlign w:val="center"/>
            <w:hideMark/>
          </w:tcPr>
          <w:p w14:paraId="46AAAD0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1CBBBBF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310308D9" w14:textId="77777777" w:rsidTr="003C62AB">
        <w:trPr>
          <w:trHeight w:val="300"/>
        </w:trPr>
        <w:tc>
          <w:tcPr>
            <w:tcW w:w="1123" w:type="pct"/>
            <w:tcBorders>
              <w:top w:val="nil"/>
              <w:left w:val="nil"/>
              <w:bottom w:val="nil"/>
              <w:right w:val="nil"/>
            </w:tcBorders>
            <w:shd w:val="clear" w:color="auto" w:fill="auto"/>
            <w:vAlign w:val="center"/>
            <w:hideMark/>
          </w:tcPr>
          <w:p w14:paraId="27342958"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Rubber</w:t>
            </w:r>
          </w:p>
        </w:tc>
        <w:tc>
          <w:tcPr>
            <w:tcW w:w="801" w:type="pct"/>
            <w:tcBorders>
              <w:top w:val="nil"/>
              <w:left w:val="nil"/>
              <w:bottom w:val="nil"/>
              <w:right w:val="nil"/>
            </w:tcBorders>
            <w:shd w:val="clear" w:color="auto" w:fill="auto"/>
            <w:vAlign w:val="center"/>
            <w:hideMark/>
          </w:tcPr>
          <w:p w14:paraId="1722EA8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318C743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74544CA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791" w:type="pct"/>
            <w:tcBorders>
              <w:top w:val="nil"/>
              <w:left w:val="nil"/>
              <w:bottom w:val="nil"/>
              <w:right w:val="nil"/>
            </w:tcBorders>
            <w:shd w:val="clear" w:color="auto" w:fill="auto"/>
            <w:vAlign w:val="center"/>
            <w:hideMark/>
          </w:tcPr>
          <w:p w14:paraId="610CC21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417E9AB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58EBD700" w14:textId="77777777" w:rsidTr="003C62AB">
        <w:trPr>
          <w:trHeight w:val="300"/>
        </w:trPr>
        <w:tc>
          <w:tcPr>
            <w:tcW w:w="1123" w:type="pct"/>
            <w:tcBorders>
              <w:top w:val="nil"/>
              <w:left w:val="nil"/>
              <w:bottom w:val="nil"/>
              <w:right w:val="nil"/>
            </w:tcBorders>
            <w:shd w:val="clear" w:color="auto" w:fill="auto"/>
            <w:vAlign w:val="center"/>
            <w:hideMark/>
          </w:tcPr>
          <w:p w14:paraId="5C772B8C"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Software &amp; IT services</w:t>
            </w:r>
          </w:p>
        </w:tc>
        <w:tc>
          <w:tcPr>
            <w:tcW w:w="801" w:type="pct"/>
            <w:tcBorders>
              <w:top w:val="nil"/>
              <w:left w:val="nil"/>
              <w:bottom w:val="nil"/>
              <w:right w:val="nil"/>
            </w:tcBorders>
            <w:shd w:val="clear" w:color="auto" w:fill="auto"/>
            <w:vAlign w:val="center"/>
            <w:hideMark/>
          </w:tcPr>
          <w:p w14:paraId="62CE74F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830" w:type="pct"/>
            <w:tcBorders>
              <w:top w:val="nil"/>
              <w:left w:val="nil"/>
              <w:bottom w:val="nil"/>
              <w:right w:val="nil"/>
            </w:tcBorders>
            <w:shd w:val="clear" w:color="auto" w:fill="auto"/>
            <w:vAlign w:val="center"/>
            <w:hideMark/>
          </w:tcPr>
          <w:p w14:paraId="256A498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7992938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791" w:type="pct"/>
            <w:tcBorders>
              <w:top w:val="nil"/>
              <w:left w:val="nil"/>
              <w:bottom w:val="nil"/>
              <w:right w:val="nil"/>
            </w:tcBorders>
            <w:shd w:val="clear" w:color="auto" w:fill="auto"/>
            <w:vAlign w:val="center"/>
            <w:hideMark/>
          </w:tcPr>
          <w:p w14:paraId="0733A98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63FC162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409399D4" w14:textId="77777777" w:rsidTr="003C62AB">
        <w:trPr>
          <w:trHeight w:val="300"/>
        </w:trPr>
        <w:tc>
          <w:tcPr>
            <w:tcW w:w="1123" w:type="pct"/>
            <w:tcBorders>
              <w:top w:val="nil"/>
              <w:left w:val="nil"/>
              <w:bottom w:val="nil"/>
              <w:right w:val="nil"/>
            </w:tcBorders>
            <w:shd w:val="clear" w:color="auto" w:fill="auto"/>
            <w:vAlign w:val="center"/>
            <w:hideMark/>
          </w:tcPr>
          <w:p w14:paraId="6AA3F13D"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sz w:val="16"/>
                <w:szCs w:val="16"/>
                <w:lang w:val="en-GB" w:eastAsia="it-IT"/>
              </w:rPr>
              <w:t>Textiles</w:t>
            </w:r>
          </w:p>
        </w:tc>
        <w:tc>
          <w:tcPr>
            <w:tcW w:w="801" w:type="pct"/>
            <w:tcBorders>
              <w:top w:val="nil"/>
              <w:left w:val="nil"/>
              <w:bottom w:val="nil"/>
              <w:right w:val="nil"/>
            </w:tcBorders>
            <w:shd w:val="clear" w:color="auto" w:fill="auto"/>
            <w:vAlign w:val="center"/>
            <w:hideMark/>
          </w:tcPr>
          <w:p w14:paraId="2E6AB3F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30" w:type="pct"/>
            <w:tcBorders>
              <w:top w:val="nil"/>
              <w:left w:val="nil"/>
              <w:bottom w:val="nil"/>
              <w:right w:val="nil"/>
            </w:tcBorders>
            <w:shd w:val="clear" w:color="auto" w:fill="auto"/>
            <w:vAlign w:val="center"/>
            <w:hideMark/>
          </w:tcPr>
          <w:p w14:paraId="4E87A9E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654" w:type="pct"/>
            <w:tcBorders>
              <w:top w:val="nil"/>
              <w:left w:val="nil"/>
              <w:bottom w:val="nil"/>
              <w:right w:val="nil"/>
            </w:tcBorders>
            <w:shd w:val="clear" w:color="auto" w:fill="auto"/>
            <w:vAlign w:val="center"/>
            <w:hideMark/>
          </w:tcPr>
          <w:p w14:paraId="458EF21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eastAsia="it-IT"/>
              </w:rPr>
              <w:t>X</w:t>
            </w:r>
          </w:p>
        </w:tc>
        <w:tc>
          <w:tcPr>
            <w:tcW w:w="791" w:type="pct"/>
            <w:tcBorders>
              <w:top w:val="nil"/>
              <w:left w:val="nil"/>
              <w:bottom w:val="nil"/>
              <w:right w:val="nil"/>
            </w:tcBorders>
            <w:shd w:val="clear" w:color="auto" w:fill="auto"/>
            <w:vAlign w:val="center"/>
            <w:hideMark/>
          </w:tcPr>
          <w:p w14:paraId="17E951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c>
          <w:tcPr>
            <w:tcW w:w="801" w:type="pct"/>
            <w:tcBorders>
              <w:top w:val="nil"/>
              <w:left w:val="nil"/>
              <w:bottom w:val="nil"/>
              <w:right w:val="nil"/>
            </w:tcBorders>
            <w:shd w:val="clear" w:color="auto" w:fill="auto"/>
            <w:vAlign w:val="center"/>
            <w:hideMark/>
          </w:tcPr>
          <w:p w14:paraId="6CE8F88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p>
        </w:tc>
      </w:tr>
      <w:tr w:rsidR="00D87FFA" w:rsidRPr="000604BD" w14:paraId="3EE934AC" w14:textId="77777777" w:rsidTr="003C62AB">
        <w:trPr>
          <w:trHeight w:val="851"/>
        </w:trPr>
        <w:tc>
          <w:tcPr>
            <w:tcW w:w="1123" w:type="pct"/>
            <w:tcBorders>
              <w:top w:val="nil"/>
              <w:left w:val="nil"/>
              <w:bottom w:val="nil"/>
              <w:right w:val="nil"/>
            </w:tcBorders>
            <w:shd w:val="clear" w:color="76933C" w:fill="A6A6A6"/>
            <w:vAlign w:val="center"/>
            <w:hideMark/>
          </w:tcPr>
          <w:p w14:paraId="6C13F136"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Indian Group</w:t>
            </w:r>
          </w:p>
        </w:tc>
        <w:tc>
          <w:tcPr>
            <w:tcW w:w="801" w:type="pct"/>
            <w:tcBorders>
              <w:top w:val="nil"/>
              <w:left w:val="nil"/>
              <w:bottom w:val="nil"/>
              <w:right w:val="nil"/>
            </w:tcBorders>
            <w:shd w:val="clear" w:color="76933C" w:fill="A6A6A6"/>
            <w:vAlign w:val="center"/>
          </w:tcPr>
          <w:p w14:paraId="54199CBA"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Mahindra Group</w:t>
            </w:r>
          </w:p>
        </w:tc>
        <w:tc>
          <w:tcPr>
            <w:tcW w:w="830" w:type="pct"/>
            <w:tcBorders>
              <w:top w:val="nil"/>
              <w:left w:val="nil"/>
              <w:bottom w:val="nil"/>
              <w:right w:val="nil"/>
            </w:tcBorders>
            <w:shd w:val="clear" w:color="76933C" w:fill="A6A6A6"/>
            <w:vAlign w:val="center"/>
          </w:tcPr>
          <w:p w14:paraId="759E6C00"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Reliance</w:t>
            </w:r>
          </w:p>
        </w:tc>
        <w:tc>
          <w:tcPr>
            <w:tcW w:w="654" w:type="pct"/>
            <w:tcBorders>
              <w:top w:val="nil"/>
              <w:left w:val="nil"/>
              <w:bottom w:val="nil"/>
              <w:right w:val="nil"/>
            </w:tcBorders>
            <w:shd w:val="clear" w:color="76933C" w:fill="A6A6A6"/>
            <w:vAlign w:val="center"/>
          </w:tcPr>
          <w:p w14:paraId="59A2336F"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State Bank of India (SBI)</w:t>
            </w:r>
          </w:p>
        </w:tc>
        <w:tc>
          <w:tcPr>
            <w:tcW w:w="791" w:type="pct"/>
            <w:tcBorders>
              <w:top w:val="nil"/>
              <w:left w:val="nil"/>
              <w:bottom w:val="nil"/>
              <w:right w:val="nil"/>
            </w:tcBorders>
            <w:shd w:val="clear" w:color="76933C" w:fill="A6A6A6"/>
            <w:vAlign w:val="center"/>
          </w:tcPr>
          <w:p w14:paraId="3E9C17D8"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Tata Group</w:t>
            </w:r>
          </w:p>
        </w:tc>
        <w:tc>
          <w:tcPr>
            <w:tcW w:w="801" w:type="pct"/>
            <w:tcBorders>
              <w:top w:val="nil"/>
              <w:left w:val="nil"/>
              <w:bottom w:val="nil"/>
              <w:right w:val="nil"/>
            </w:tcBorders>
            <w:shd w:val="clear" w:color="76933C" w:fill="A6A6A6"/>
            <w:vAlign w:val="center"/>
          </w:tcPr>
          <w:p w14:paraId="054B903D" w14:textId="77777777" w:rsidR="00D87FFA" w:rsidRPr="000604BD" w:rsidRDefault="00D87FFA" w:rsidP="003C62AB">
            <w:pPr>
              <w:spacing w:after="0" w:line="240" w:lineRule="auto"/>
              <w:jc w:val="center"/>
              <w:rPr>
                <w:rFonts w:ascii="Garamond" w:eastAsia="Times New Roman" w:hAnsi="Garamond" w:cs="Times New Roman"/>
                <w:b/>
                <w:bCs/>
                <w:color w:val="FFFFFF"/>
                <w:sz w:val="16"/>
                <w:szCs w:val="16"/>
                <w:lang w:val="en-GB" w:eastAsia="it-IT"/>
              </w:rPr>
            </w:pPr>
            <w:r w:rsidRPr="000604BD">
              <w:rPr>
                <w:rFonts w:ascii="Garamond" w:eastAsia="Times New Roman" w:hAnsi="Garamond" w:cs="Times New Roman"/>
                <w:b/>
                <w:bCs/>
                <w:color w:val="FFFFFF"/>
                <w:sz w:val="16"/>
                <w:szCs w:val="16"/>
                <w:lang w:val="en-GB"/>
              </w:rPr>
              <w:t>Wipro</w:t>
            </w:r>
          </w:p>
        </w:tc>
      </w:tr>
      <w:tr w:rsidR="00D87FFA" w:rsidRPr="000604BD" w14:paraId="67734365" w14:textId="77777777" w:rsidTr="003C62AB">
        <w:trPr>
          <w:trHeight w:val="480"/>
        </w:trPr>
        <w:tc>
          <w:tcPr>
            <w:tcW w:w="1123" w:type="pct"/>
            <w:tcBorders>
              <w:top w:val="nil"/>
              <w:left w:val="nil"/>
              <w:bottom w:val="nil"/>
              <w:right w:val="nil"/>
            </w:tcBorders>
            <w:shd w:val="clear" w:color="auto" w:fill="auto"/>
            <w:vAlign w:val="center"/>
            <w:hideMark/>
          </w:tcPr>
          <w:p w14:paraId="13969363"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Group sector</w:t>
            </w:r>
          </w:p>
        </w:tc>
        <w:tc>
          <w:tcPr>
            <w:tcW w:w="801" w:type="pct"/>
            <w:tcBorders>
              <w:top w:val="nil"/>
              <w:left w:val="nil"/>
              <w:bottom w:val="nil"/>
              <w:right w:val="nil"/>
            </w:tcBorders>
            <w:shd w:val="clear" w:color="auto" w:fill="auto"/>
            <w:vAlign w:val="center"/>
            <w:hideMark/>
          </w:tcPr>
          <w:p w14:paraId="12A0FBD5"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Automotive OEM</w:t>
            </w:r>
          </w:p>
        </w:tc>
        <w:tc>
          <w:tcPr>
            <w:tcW w:w="830" w:type="pct"/>
            <w:tcBorders>
              <w:top w:val="nil"/>
              <w:left w:val="nil"/>
              <w:bottom w:val="nil"/>
              <w:right w:val="nil"/>
            </w:tcBorders>
            <w:shd w:val="clear" w:color="auto" w:fill="auto"/>
            <w:vAlign w:val="center"/>
            <w:hideMark/>
          </w:tcPr>
          <w:p w14:paraId="44E9DD11"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Coal, Oil &amp; Gas</w:t>
            </w:r>
          </w:p>
        </w:tc>
        <w:tc>
          <w:tcPr>
            <w:tcW w:w="654" w:type="pct"/>
            <w:tcBorders>
              <w:top w:val="nil"/>
              <w:left w:val="nil"/>
              <w:bottom w:val="nil"/>
              <w:right w:val="nil"/>
            </w:tcBorders>
            <w:shd w:val="clear" w:color="auto" w:fill="auto"/>
            <w:vAlign w:val="center"/>
            <w:hideMark/>
          </w:tcPr>
          <w:p w14:paraId="5AD2A1FA"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Financial Services</w:t>
            </w:r>
          </w:p>
        </w:tc>
        <w:tc>
          <w:tcPr>
            <w:tcW w:w="791" w:type="pct"/>
            <w:tcBorders>
              <w:top w:val="nil"/>
              <w:left w:val="nil"/>
              <w:bottom w:val="nil"/>
              <w:right w:val="nil"/>
            </w:tcBorders>
            <w:shd w:val="clear" w:color="auto" w:fill="auto"/>
            <w:vAlign w:val="center"/>
            <w:hideMark/>
          </w:tcPr>
          <w:p w14:paraId="5D9CD4A0"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Automotive OEM</w:t>
            </w:r>
          </w:p>
        </w:tc>
        <w:tc>
          <w:tcPr>
            <w:tcW w:w="801" w:type="pct"/>
            <w:tcBorders>
              <w:top w:val="nil"/>
              <w:left w:val="nil"/>
              <w:bottom w:val="nil"/>
              <w:right w:val="nil"/>
            </w:tcBorders>
            <w:shd w:val="clear" w:color="auto" w:fill="auto"/>
            <w:vAlign w:val="center"/>
            <w:hideMark/>
          </w:tcPr>
          <w:p w14:paraId="6495F20A"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Software &amp; IT services</w:t>
            </w:r>
          </w:p>
        </w:tc>
      </w:tr>
      <w:tr w:rsidR="00D87FFA" w:rsidRPr="000604BD" w14:paraId="3DF9705A" w14:textId="77777777" w:rsidTr="003C62AB">
        <w:trPr>
          <w:trHeight w:val="300"/>
        </w:trPr>
        <w:tc>
          <w:tcPr>
            <w:tcW w:w="1123" w:type="pct"/>
            <w:tcBorders>
              <w:top w:val="nil"/>
              <w:left w:val="nil"/>
              <w:bottom w:val="nil"/>
              <w:right w:val="nil"/>
            </w:tcBorders>
            <w:shd w:val="clear" w:color="auto" w:fill="auto"/>
            <w:vAlign w:val="center"/>
            <w:hideMark/>
          </w:tcPr>
          <w:p w14:paraId="4BED6AC2" w14:textId="77777777" w:rsidR="00D87FFA" w:rsidRPr="000604BD" w:rsidRDefault="00D87FFA" w:rsidP="003C62AB">
            <w:pPr>
              <w:spacing w:after="0" w:line="240" w:lineRule="auto"/>
              <w:rPr>
                <w:rFonts w:ascii="Garamond" w:eastAsia="Times New Roman" w:hAnsi="Garamond" w:cs="Times New Roman"/>
                <w:sz w:val="16"/>
                <w:szCs w:val="16"/>
                <w:lang w:val="en-GB" w:eastAsia="it-IT"/>
              </w:rPr>
            </w:pPr>
            <w:r w:rsidRPr="000604BD">
              <w:rPr>
                <w:rFonts w:ascii="Garamond" w:eastAsia="Times New Roman" w:hAnsi="Garamond" w:cs="Times New Roman"/>
                <w:color w:val="000000"/>
                <w:sz w:val="16"/>
                <w:szCs w:val="16"/>
                <w:lang w:val="en-GB"/>
              </w:rPr>
              <w:t>Sector of investment:</w:t>
            </w:r>
          </w:p>
        </w:tc>
        <w:tc>
          <w:tcPr>
            <w:tcW w:w="801" w:type="pct"/>
            <w:tcBorders>
              <w:top w:val="nil"/>
              <w:left w:val="nil"/>
              <w:bottom w:val="nil"/>
              <w:right w:val="nil"/>
            </w:tcBorders>
            <w:shd w:val="clear" w:color="auto" w:fill="auto"/>
            <w:vAlign w:val="center"/>
          </w:tcPr>
          <w:p w14:paraId="6E2571FC"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830" w:type="pct"/>
            <w:tcBorders>
              <w:top w:val="nil"/>
              <w:left w:val="nil"/>
              <w:bottom w:val="nil"/>
              <w:right w:val="nil"/>
            </w:tcBorders>
            <w:shd w:val="clear" w:color="auto" w:fill="auto"/>
            <w:vAlign w:val="center"/>
          </w:tcPr>
          <w:p w14:paraId="2D92C4C3"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654" w:type="pct"/>
            <w:tcBorders>
              <w:top w:val="nil"/>
              <w:left w:val="nil"/>
              <w:bottom w:val="nil"/>
              <w:right w:val="nil"/>
            </w:tcBorders>
            <w:shd w:val="clear" w:color="auto" w:fill="auto"/>
            <w:vAlign w:val="center"/>
          </w:tcPr>
          <w:p w14:paraId="72933C30"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791" w:type="pct"/>
            <w:tcBorders>
              <w:top w:val="nil"/>
              <w:left w:val="nil"/>
              <w:bottom w:val="nil"/>
              <w:right w:val="nil"/>
            </w:tcBorders>
            <w:shd w:val="clear" w:color="auto" w:fill="auto"/>
            <w:vAlign w:val="center"/>
          </w:tcPr>
          <w:p w14:paraId="1578E4FE"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c>
          <w:tcPr>
            <w:tcW w:w="801" w:type="pct"/>
            <w:tcBorders>
              <w:top w:val="nil"/>
              <w:left w:val="nil"/>
              <w:bottom w:val="nil"/>
              <w:right w:val="nil"/>
            </w:tcBorders>
            <w:shd w:val="clear" w:color="auto" w:fill="auto"/>
            <w:vAlign w:val="center"/>
          </w:tcPr>
          <w:p w14:paraId="59F598F2" w14:textId="77777777" w:rsidR="00D87FFA" w:rsidRPr="000604BD" w:rsidRDefault="00D87FFA" w:rsidP="003C62AB">
            <w:pPr>
              <w:spacing w:after="0" w:line="240" w:lineRule="auto"/>
              <w:jc w:val="center"/>
              <w:rPr>
                <w:rFonts w:ascii="Garamond" w:eastAsia="Times New Roman" w:hAnsi="Garamond" w:cs="Times New Roman"/>
                <w:b/>
                <w:bCs/>
                <w:sz w:val="16"/>
                <w:szCs w:val="16"/>
                <w:lang w:val="en-GB" w:eastAsia="it-IT"/>
              </w:rPr>
            </w:pPr>
          </w:p>
        </w:tc>
      </w:tr>
      <w:tr w:rsidR="00D87FFA" w:rsidRPr="000604BD" w14:paraId="411A70CF" w14:textId="77777777" w:rsidTr="003C62AB">
        <w:trPr>
          <w:trHeight w:val="300"/>
        </w:trPr>
        <w:tc>
          <w:tcPr>
            <w:tcW w:w="1123" w:type="pct"/>
            <w:tcBorders>
              <w:top w:val="nil"/>
              <w:left w:val="nil"/>
              <w:bottom w:val="nil"/>
              <w:right w:val="nil"/>
            </w:tcBorders>
            <w:shd w:val="clear" w:color="auto" w:fill="auto"/>
            <w:vAlign w:val="center"/>
          </w:tcPr>
          <w:p w14:paraId="255810E0"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Automotive</w:t>
            </w:r>
          </w:p>
        </w:tc>
        <w:tc>
          <w:tcPr>
            <w:tcW w:w="801" w:type="pct"/>
            <w:tcBorders>
              <w:top w:val="nil"/>
              <w:left w:val="nil"/>
              <w:bottom w:val="nil"/>
              <w:right w:val="nil"/>
            </w:tcBorders>
            <w:shd w:val="clear" w:color="auto" w:fill="auto"/>
            <w:vAlign w:val="center"/>
          </w:tcPr>
          <w:p w14:paraId="3E8C359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bottom"/>
          </w:tcPr>
          <w:p w14:paraId="23F0E85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654" w:type="pct"/>
            <w:tcBorders>
              <w:top w:val="nil"/>
              <w:left w:val="nil"/>
              <w:bottom w:val="nil"/>
              <w:right w:val="nil"/>
            </w:tcBorders>
            <w:shd w:val="clear" w:color="auto" w:fill="auto"/>
            <w:vAlign w:val="bottom"/>
          </w:tcPr>
          <w:p w14:paraId="6C0EA04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0826DC7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55E4AF0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3D7320D7" w14:textId="77777777" w:rsidTr="003C62AB">
        <w:trPr>
          <w:trHeight w:val="300"/>
        </w:trPr>
        <w:tc>
          <w:tcPr>
            <w:tcW w:w="1123" w:type="pct"/>
            <w:tcBorders>
              <w:top w:val="nil"/>
              <w:left w:val="nil"/>
              <w:bottom w:val="nil"/>
              <w:right w:val="nil"/>
            </w:tcBorders>
            <w:shd w:val="clear" w:color="auto" w:fill="auto"/>
            <w:vAlign w:val="center"/>
          </w:tcPr>
          <w:p w14:paraId="2E669EED"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Biotech &amp; Pharmaceuticals</w:t>
            </w:r>
          </w:p>
        </w:tc>
        <w:tc>
          <w:tcPr>
            <w:tcW w:w="801" w:type="pct"/>
            <w:tcBorders>
              <w:top w:val="nil"/>
              <w:left w:val="nil"/>
              <w:bottom w:val="nil"/>
              <w:right w:val="nil"/>
            </w:tcBorders>
            <w:shd w:val="clear" w:color="auto" w:fill="auto"/>
            <w:vAlign w:val="bottom"/>
          </w:tcPr>
          <w:p w14:paraId="31EBA8E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38BAEE8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765E41C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bottom"/>
          </w:tcPr>
          <w:p w14:paraId="190E761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01" w:type="pct"/>
            <w:tcBorders>
              <w:top w:val="nil"/>
              <w:left w:val="nil"/>
              <w:bottom w:val="nil"/>
              <w:right w:val="nil"/>
            </w:tcBorders>
            <w:shd w:val="clear" w:color="auto" w:fill="auto"/>
            <w:vAlign w:val="bottom"/>
          </w:tcPr>
          <w:p w14:paraId="5AD5218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18FE5D53" w14:textId="77777777" w:rsidTr="003C62AB">
        <w:trPr>
          <w:trHeight w:val="300"/>
        </w:trPr>
        <w:tc>
          <w:tcPr>
            <w:tcW w:w="1123" w:type="pct"/>
            <w:tcBorders>
              <w:top w:val="nil"/>
              <w:left w:val="nil"/>
              <w:bottom w:val="nil"/>
              <w:right w:val="nil"/>
            </w:tcBorders>
            <w:shd w:val="clear" w:color="auto" w:fill="auto"/>
            <w:vAlign w:val="center"/>
          </w:tcPr>
          <w:p w14:paraId="04BF9CD2"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Business Services</w:t>
            </w:r>
          </w:p>
        </w:tc>
        <w:tc>
          <w:tcPr>
            <w:tcW w:w="801" w:type="pct"/>
            <w:tcBorders>
              <w:top w:val="nil"/>
              <w:left w:val="nil"/>
              <w:bottom w:val="nil"/>
              <w:right w:val="nil"/>
            </w:tcBorders>
            <w:shd w:val="clear" w:color="auto" w:fill="auto"/>
            <w:vAlign w:val="center"/>
          </w:tcPr>
          <w:p w14:paraId="45EFC70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center"/>
          </w:tcPr>
          <w:p w14:paraId="1AB448B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11566C2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3B7FB53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center"/>
          </w:tcPr>
          <w:p w14:paraId="2D57B66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r>
      <w:tr w:rsidR="00D87FFA" w:rsidRPr="000604BD" w14:paraId="3B9A72DD" w14:textId="77777777" w:rsidTr="003C62AB">
        <w:trPr>
          <w:trHeight w:val="300"/>
        </w:trPr>
        <w:tc>
          <w:tcPr>
            <w:tcW w:w="1123" w:type="pct"/>
            <w:tcBorders>
              <w:top w:val="nil"/>
              <w:left w:val="nil"/>
              <w:bottom w:val="nil"/>
              <w:right w:val="nil"/>
            </w:tcBorders>
            <w:shd w:val="clear" w:color="auto" w:fill="auto"/>
            <w:vAlign w:val="center"/>
          </w:tcPr>
          <w:p w14:paraId="714EF7F1"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Chemicals</w:t>
            </w:r>
          </w:p>
        </w:tc>
        <w:tc>
          <w:tcPr>
            <w:tcW w:w="801" w:type="pct"/>
            <w:tcBorders>
              <w:top w:val="nil"/>
              <w:left w:val="nil"/>
              <w:bottom w:val="nil"/>
              <w:right w:val="nil"/>
            </w:tcBorders>
            <w:shd w:val="clear" w:color="auto" w:fill="auto"/>
            <w:vAlign w:val="bottom"/>
          </w:tcPr>
          <w:p w14:paraId="7D8ABAA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4E26A9D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3C4ED14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36C0979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1585730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5D4F1780" w14:textId="77777777" w:rsidTr="003C62AB">
        <w:trPr>
          <w:trHeight w:val="300"/>
        </w:trPr>
        <w:tc>
          <w:tcPr>
            <w:tcW w:w="1123" w:type="pct"/>
            <w:tcBorders>
              <w:top w:val="nil"/>
              <w:left w:val="nil"/>
              <w:bottom w:val="nil"/>
              <w:right w:val="nil"/>
            </w:tcBorders>
            <w:shd w:val="clear" w:color="auto" w:fill="auto"/>
            <w:vAlign w:val="center"/>
          </w:tcPr>
          <w:p w14:paraId="2F355F47"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Coal, Oil &amp; Gas</w:t>
            </w:r>
          </w:p>
        </w:tc>
        <w:tc>
          <w:tcPr>
            <w:tcW w:w="801" w:type="pct"/>
            <w:tcBorders>
              <w:top w:val="nil"/>
              <w:left w:val="nil"/>
              <w:bottom w:val="nil"/>
              <w:right w:val="nil"/>
            </w:tcBorders>
            <w:shd w:val="clear" w:color="auto" w:fill="auto"/>
            <w:vAlign w:val="bottom"/>
          </w:tcPr>
          <w:p w14:paraId="2D94FC3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479C802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59ED3E85"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7D8452C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58695E2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1713C3AF" w14:textId="77777777" w:rsidTr="003C62AB">
        <w:trPr>
          <w:trHeight w:val="300"/>
        </w:trPr>
        <w:tc>
          <w:tcPr>
            <w:tcW w:w="1123" w:type="pct"/>
            <w:tcBorders>
              <w:top w:val="nil"/>
              <w:left w:val="nil"/>
              <w:bottom w:val="nil"/>
              <w:right w:val="nil"/>
            </w:tcBorders>
            <w:shd w:val="clear" w:color="auto" w:fill="auto"/>
            <w:vAlign w:val="center"/>
          </w:tcPr>
          <w:p w14:paraId="3E456EF4"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Communications</w:t>
            </w:r>
          </w:p>
        </w:tc>
        <w:tc>
          <w:tcPr>
            <w:tcW w:w="801" w:type="pct"/>
            <w:tcBorders>
              <w:top w:val="nil"/>
              <w:left w:val="nil"/>
              <w:bottom w:val="nil"/>
              <w:right w:val="nil"/>
            </w:tcBorders>
            <w:shd w:val="clear" w:color="auto" w:fill="auto"/>
            <w:vAlign w:val="bottom"/>
          </w:tcPr>
          <w:p w14:paraId="08BE5E3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0A31E43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370DB3B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23B4CFE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6A99530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7329F54B" w14:textId="77777777" w:rsidTr="003C62AB">
        <w:trPr>
          <w:trHeight w:val="300"/>
        </w:trPr>
        <w:tc>
          <w:tcPr>
            <w:tcW w:w="1123" w:type="pct"/>
            <w:tcBorders>
              <w:top w:val="nil"/>
              <w:left w:val="nil"/>
              <w:bottom w:val="nil"/>
              <w:right w:val="nil"/>
            </w:tcBorders>
            <w:shd w:val="clear" w:color="auto" w:fill="auto"/>
            <w:vAlign w:val="center"/>
          </w:tcPr>
          <w:p w14:paraId="6C46DF9F"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Electronics</w:t>
            </w:r>
          </w:p>
        </w:tc>
        <w:tc>
          <w:tcPr>
            <w:tcW w:w="801" w:type="pct"/>
            <w:tcBorders>
              <w:top w:val="nil"/>
              <w:left w:val="nil"/>
              <w:bottom w:val="nil"/>
              <w:right w:val="nil"/>
            </w:tcBorders>
            <w:shd w:val="clear" w:color="auto" w:fill="auto"/>
            <w:vAlign w:val="bottom"/>
          </w:tcPr>
          <w:p w14:paraId="75FDC8CD"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240D4BF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2D29424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22E0E3C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288E38E8"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548EC3B3" w14:textId="77777777" w:rsidTr="003C62AB">
        <w:trPr>
          <w:trHeight w:val="300"/>
        </w:trPr>
        <w:tc>
          <w:tcPr>
            <w:tcW w:w="1123" w:type="pct"/>
            <w:tcBorders>
              <w:top w:val="nil"/>
              <w:left w:val="nil"/>
              <w:bottom w:val="nil"/>
              <w:right w:val="nil"/>
            </w:tcBorders>
            <w:shd w:val="clear" w:color="auto" w:fill="auto"/>
            <w:vAlign w:val="center"/>
          </w:tcPr>
          <w:p w14:paraId="2BB4365C"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Financial Services</w:t>
            </w:r>
          </w:p>
        </w:tc>
        <w:tc>
          <w:tcPr>
            <w:tcW w:w="801" w:type="pct"/>
            <w:tcBorders>
              <w:top w:val="nil"/>
              <w:left w:val="nil"/>
              <w:bottom w:val="nil"/>
              <w:right w:val="nil"/>
            </w:tcBorders>
            <w:shd w:val="clear" w:color="auto" w:fill="auto"/>
            <w:vAlign w:val="bottom"/>
          </w:tcPr>
          <w:p w14:paraId="3B96217E"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098FAFD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center"/>
          </w:tcPr>
          <w:p w14:paraId="6859DFD6"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791" w:type="pct"/>
            <w:tcBorders>
              <w:top w:val="nil"/>
              <w:left w:val="nil"/>
              <w:bottom w:val="nil"/>
              <w:right w:val="nil"/>
            </w:tcBorders>
            <w:shd w:val="clear" w:color="auto" w:fill="auto"/>
            <w:vAlign w:val="center"/>
          </w:tcPr>
          <w:p w14:paraId="5AED03E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51BCD6F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0A50EEED" w14:textId="77777777" w:rsidTr="003C62AB">
        <w:trPr>
          <w:trHeight w:val="300"/>
        </w:trPr>
        <w:tc>
          <w:tcPr>
            <w:tcW w:w="1123" w:type="pct"/>
            <w:tcBorders>
              <w:top w:val="nil"/>
              <w:left w:val="nil"/>
              <w:bottom w:val="nil"/>
              <w:right w:val="nil"/>
            </w:tcBorders>
            <w:shd w:val="clear" w:color="auto" w:fill="auto"/>
            <w:vAlign w:val="center"/>
          </w:tcPr>
          <w:p w14:paraId="03F6964D" w14:textId="77777777" w:rsidR="00D87FFA" w:rsidRPr="000604BD" w:rsidRDefault="00D87FFA" w:rsidP="003C62AB">
            <w:pPr>
              <w:spacing w:after="0" w:line="240" w:lineRule="auto"/>
              <w:rPr>
                <w:rFonts w:ascii="Garamond" w:eastAsia="Times New Roman" w:hAnsi="Garamond" w:cs="Times New Roman"/>
                <w:b/>
                <w:bCs/>
                <w:sz w:val="16"/>
                <w:szCs w:val="16"/>
                <w:lang w:val="en-GB" w:eastAsia="it-IT"/>
              </w:rPr>
            </w:pPr>
            <w:r w:rsidRPr="000604BD">
              <w:rPr>
                <w:rFonts w:ascii="Garamond" w:eastAsia="Times New Roman" w:hAnsi="Garamond" w:cs="Times New Roman"/>
                <w:b/>
                <w:bCs/>
                <w:color w:val="000000"/>
                <w:sz w:val="16"/>
                <w:szCs w:val="16"/>
                <w:lang w:val="en-GB"/>
              </w:rPr>
              <w:t>Food, Beverage &amp; Tobacco</w:t>
            </w:r>
          </w:p>
        </w:tc>
        <w:tc>
          <w:tcPr>
            <w:tcW w:w="801" w:type="pct"/>
            <w:tcBorders>
              <w:top w:val="nil"/>
              <w:left w:val="nil"/>
              <w:bottom w:val="nil"/>
              <w:right w:val="nil"/>
            </w:tcBorders>
            <w:shd w:val="clear" w:color="auto" w:fill="auto"/>
            <w:vAlign w:val="center"/>
          </w:tcPr>
          <w:p w14:paraId="25F0CD82"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bottom"/>
          </w:tcPr>
          <w:p w14:paraId="2208BD4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654" w:type="pct"/>
            <w:tcBorders>
              <w:top w:val="nil"/>
              <w:left w:val="nil"/>
              <w:bottom w:val="nil"/>
              <w:right w:val="nil"/>
            </w:tcBorders>
            <w:shd w:val="clear" w:color="auto" w:fill="auto"/>
            <w:vAlign w:val="bottom"/>
          </w:tcPr>
          <w:p w14:paraId="445250D1"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24F33DB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22935C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eastAsia="it-IT"/>
              </w:rPr>
            </w:pPr>
            <w:r w:rsidRPr="000604BD">
              <w:rPr>
                <w:rFonts w:ascii="Calibri" w:eastAsia="Times New Roman" w:hAnsi="Calibri" w:cs="Times New Roman"/>
                <w:color w:val="000000"/>
                <w:sz w:val="24"/>
                <w:szCs w:val="24"/>
                <w:lang w:val="en-GB"/>
              </w:rPr>
              <w:t> </w:t>
            </w:r>
          </w:p>
        </w:tc>
      </w:tr>
      <w:tr w:rsidR="00D87FFA" w:rsidRPr="000604BD" w14:paraId="3F6411A1" w14:textId="77777777" w:rsidTr="003C62AB">
        <w:trPr>
          <w:trHeight w:val="300"/>
        </w:trPr>
        <w:tc>
          <w:tcPr>
            <w:tcW w:w="1123" w:type="pct"/>
            <w:tcBorders>
              <w:top w:val="nil"/>
              <w:left w:val="nil"/>
              <w:bottom w:val="nil"/>
              <w:right w:val="nil"/>
            </w:tcBorders>
            <w:shd w:val="clear" w:color="auto" w:fill="auto"/>
            <w:vAlign w:val="center"/>
          </w:tcPr>
          <w:p w14:paraId="5DEAABB3" w14:textId="77777777" w:rsidR="00D87FFA" w:rsidRPr="000604BD" w:rsidRDefault="00D87FFA" w:rsidP="003C62AB">
            <w:pPr>
              <w:spacing w:after="0" w:line="240" w:lineRule="auto"/>
              <w:rPr>
                <w:rFonts w:ascii="Garamond" w:eastAsia="Times New Roman" w:hAnsi="Garamond" w:cs="Times New Roman"/>
                <w:b/>
                <w:bCs/>
                <w:color w:val="000000"/>
                <w:sz w:val="16"/>
                <w:szCs w:val="16"/>
                <w:lang w:val="en-GB"/>
              </w:rPr>
            </w:pPr>
            <w:r w:rsidRPr="000604BD">
              <w:rPr>
                <w:rFonts w:ascii="Garamond" w:eastAsia="Times New Roman" w:hAnsi="Garamond" w:cs="Times New Roman"/>
                <w:b/>
                <w:bCs/>
                <w:color w:val="000000"/>
                <w:sz w:val="16"/>
                <w:szCs w:val="16"/>
                <w:lang w:val="en-GB"/>
              </w:rPr>
              <w:t>Industrial Machinery &amp; Engines</w:t>
            </w:r>
          </w:p>
        </w:tc>
        <w:tc>
          <w:tcPr>
            <w:tcW w:w="801" w:type="pct"/>
            <w:tcBorders>
              <w:top w:val="nil"/>
              <w:left w:val="nil"/>
              <w:bottom w:val="nil"/>
              <w:right w:val="nil"/>
            </w:tcBorders>
            <w:shd w:val="clear" w:color="auto" w:fill="auto"/>
            <w:vAlign w:val="center"/>
          </w:tcPr>
          <w:p w14:paraId="0EC9D55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bottom"/>
          </w:tcPr>
          <w:p w14:paraId="70090506"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654" w:type="pct"/>
            <w:tcBorders>
              <w:top w:val="nil"/>
              <w:left w:val="nil"/>
              <w:bottom w:val="nil"/>
              <w:right w:val="nil"/>
            </w:tcBorders>
            <w:shd w:val="clear" w:color="auto" w:fill="auto"/>
            <w:vAlign w:val="bottom"/>
          </w:tcPr>
          <w:p w14:paraId="2512A267"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bottom"/>
          </w:tcPr>
          <w:p w14:paraId="56ED208F"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Calibri" w:eastAsia="Times New Roman" w:hAnsi="Calibri" w:cs="Times New Roman"/>
                <w:color w:val="000000"/>
                <w:sz w:val="24"/>
                <w:szCs w:val="24"/>
                <w:lang w:val="en-GB"/>
              </w:rPr>
              <w:t> </w:t>
            </w:r>
          </w:p>
        </w:tc>
        <w:tc>
          <w:tcPr>
            <w:tcW w:w="801" w:type="pct"/>
            <w:tcBorders>
              <w:top w:val="nil"/>
              <w:left w:val="nil"/>
              <w:bottom w:val="nil"/>
              <w:right w:val="nil"/>
            </w:tcBorders>
            <w:shd w:val="clear" w:color="auto" w:fill="auto"/>
            <w:vAlign w:val="center"/>
          </w:tcPr>
          <w:p w14:paraId="6206F14D"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Garamond" w:eastAsia="Times New Roman" w:hAnsi="Garamond" w:cs="Times New Roman"/>
                <w:color w:val="000000"/>
                <w:sz w:val="16"/>
                <w:szCs w:val="16"/>
                <w:lang w:val="en-GB"/>
              </w:rPr>
              <w:t>X</w:t>
            </w:r>
          </w:p>
        </w:tc>
      </w:tr>
      <w:tr w:rsidR="00D87FFA" w:rsidRPr="000604BD" w14:paraId="0FE8B208" w14:textId="77777777" w:rsidTr="003C62AB">
        <w:trPr>
          <w:trHeight w:val="300"/>
        </w:trPr>
        <w:tc>
          <w:tcPr>
            <w:tcW w:w="1123" w:type="pct"/>
            <w:tcBorders>
              <w:top w:val="nil"/>
              <w:left w:val="nil"/>
              <w:bottom w:val="nil"/>
              <w:right w:val="nil"/>
            </w:tcBorders>
            <w:shd w:val="clear" w:color="auto" w:fill="auto"/>
            <w:vAlign w:val="center"/>
          </w:tcPr>
          <w:p w14:paraId="7D053496" w14:textId="77777777" w:rsidR="00D87FFA" w:rsidRPr="000604BD" w:rsidRDefault="00D87FFA" w:rsidP="003C62AB">
            <w:pPr>
              <w:spacing w:after="0" w:line="240" w:lineRule="auto"/>
              <w:rPr>
                <w:rFonts w:ascii="Garamond" w:eastAsia="Times New Roman" w:hAnsi="Garamond" w:cs="Times New Roman"/>
                <w:b/>
                <w:bCs/>
                <w:color w:val="000000"/>
                <w:sz w:val="16"/>
                <w:szCs w:val="16"/>
                <w:lang w:val="en-GB"/>
              </w:rPr>
            </w:pPr>
            <w:r w:rsidRPr="000604BD">
              <w:rPr>
                <w:rFonts w:ascii="Garamond" w:eastAsia="Times New Roman" w:hAnsi="Garamond" w:cs="Times New Roman"/>
                <w:b/>
                <w:bCs/>
                <w:color w:val="000000"/>
                <w:sz w:val="16"/>
                <w:szCs w:val="16"/>
                <w:lang w:val="en-GB"/>
              </w:rPr>
              <w:t>Leisure &amp; Tourism</w:t>
            </w:r>
          </w:p>
        </w:tc>
        <w:tc>
          <w:tcPr>
            <w:tcW w:w="801" w:type="pct"/>
            <w:tcBorders>
              <w:top w:val="nil"/>
              <w:left w:val="nil"/>
              <w:bottom w:val="nil"/>
              <w:right w:val="nil"/>
            </w:tcBorders>
            <w:shd w:val="clear" w:color="auto" w:fill="auto"/>
            <w:vAlign w:val="center"/>
          </w:tcPr>
          <w:p w14:paraId="4BBF5C4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center"/>
          </w:tcPr>
          <w:p w14:paraId="0744A88E"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7002F400"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3C57887B"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051BA07E"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r>
      <w:tr w:rsidR="00D87FFA" w:rsidRPr="000604BD" w14:paraId="49956EB3" w14:textId="77777777" w:rsidTr="003C62AB">
        <w:trPr>
          <w:trHeight w:val="300"/>
        </w:trPr>
        <w:tc>
          <w:tcPr>
            <w:tcW w:w="1123" w:type="pct"/>
            <w:tcBorders>
              <w:top w:val="nil"/>
              <w:left w:val="nil"/>
              <w:bottom w:val="nil"/>
              <w:right w:val="nil"/>
            </w:tcBorders>
            <w:shd w:val="clear" w:color="auto" w:fill="auto"/>
            <w:vAlign w:val="center"/>
          </w:tcPr>
          <w:p w14:paraId="6D028F7B" w14:textId="77777777" w:rsidR="00D87FFA" w:rsidRPr="000604BD" w:rsidRDefault="00D87FFA" w:rsidP="003C62AB">
            <w:pPr>
              <w:spacing w:after="0" w:line="240" w:lineRule="auto"/>
              <w:rPr>
                <w:rFonts w:ascii="Garamond" w:eastAsia="Times New Roman" w:hAnsi="Garamond" w:cs="Times New Roman"/>
                <w:b/>
                <w:bCs/>
                <w:color w:val="000000"/>
                <w:sz w:val="16"/>
                <w:szCs w:val="16"/>
                <w:lang w:val="en-GB"/>
              </w:rPr>
            </w:pPr>
            <w:r w:rsidRPr="000604BD">
              <w:rPr>
                <w:rFonts w:ascii="Garamond" w:eastAsia="Times New Roman" w:hAnsi="Garamond" w:cs="Times New Roman"/>
                <w:b/>
                <w:bCs/>
                <w:color w:val="000000"/>
                <w:sz w:val="16"/>
                <w:szCs w:val="16"/>
                <w:lang w:val="en-GB"/>
              </w:rPr>
              <w:t>Metals</w:t>
            </w:r>
          </w:p>
        </w:tc>
        <w:tc>
          <w:tcPr>
            <w:tcW w:w="801" w:type="pct"/>
            <w:tcBorders>
              <w:top w:val="nil"/>
              <w:left w:val="nil"/>
              <w:bottom w:val="nil"/>
              <w:right w:val="nil"/>
            </w:tcBorders>
            <w:shd w:val="clear" w:color="auto" w:fill="auto"/>
            <w:vAlign w:val="center"/>
          </w:tcPr>
          <w:p w14:paraId="164752D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bottom"/>
          </w:tcPr>
          <w:p w14:paraId="49414D48"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654" w:type="pct"/>
            <w:tcBorders>
              <w:top w:val="nil"/>
              <w:left w:val="nil"/>
              <w:bottom w:val="nil"/>
              <w:right w:val="nil"/>
            </w:tcBorders>
            <w:shd w:val="clear" w:color="auto" w:fill="auto"/>
            <w:vAlign w:val="bottom"/>
          </w:tcPr>
          <w:p w14:paraId="693E9AD2"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21C65810"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512D1542"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r>
      <w:tr w:rsidR="00D87FFA" w:rsidRPr="000604BD" w14:paraId="05EEA741" w14:textId="77777777" w:rsidTr="003C62AB">
        <w:trPr>
          <w:trHeight w:val="300"/>
        </w:trPr>
        <w:tc>
          <w:tcPr>
            <w:tcW w:w="1123" w:type="pct"/>
            <w:tcBorders>
              <w:top w:val="nil"/>
              <w:left w:val="nil"/>
              <w:bottom w:val="nil"/>
              <w:right w:val="nil"/>
            </w:tcBorders>
            <w:shd w:val="clear" w:color="auto" w:fill="auto"/>
            <w:vAlign w:val="center"/>
          </w:tcPr>
          <w:p w14:paraId="04C4AE2F" w14:textId="77777777" w:rsidR="00D87FFA" w:rsidRPr="000604BD" w:rsidRDefault="00D87FFA" w:rsidP="003C62AB">
            <w:pPr>
              <w:spacing w:after="0" w:line="240" w:lineRule="auto"/>
              <w:rPr>
                <w:rFonts w:ascii="Garamond" w:eastAsia="Times New Roman" w:hAnsi="Garamond" w:cs="Times New Roman"/>
                <w:b/>
                <w:bCs/>
                <w:color w:val="000000"/>
                <w:sz w:val="16"/>
                <w:szCs w:val="16"/>
                <w:lang w:val="en-GB"/>
              </w:rPr>
            </w:pPr>
            <w:r w:rsidRPr="000604BD">
              <w:rPr>
                <w:rFonts w:ascii="Garamond" w:eastAsia="Times New Roman" w:hAnsi="Garamond" w:cs="Times New Roman"/>
                <w:b/>
                <w:bCs/>
                <w:color w:val="000000"/>
                <w:sz w:val="16"/>
                <w:szCs w:val="16"/>
                <w:lang w:val="en-GB"/>
              </w:rPr>
              <w:t>Other Transport</w:t>
            </w:r>
          </w:p>
        </w:tc>
        <w:tc>
          <w:tcPr>
            <w:tcW w:w="801" w:type="pct"/>
            <w:tcBorders>
              <w:top w:val="nil"/>
              <w:left w:val="nil"/>
              <w:bottom w:val="nil"/>
              <w:right w:val="nil"/>
            </w:tcBorders>
            <w:shd w:val="clear" w:color="auto" w:fill="auto"/>
            <w:vAlign w:val="center"/>
          </w:tcPr>
          <w:p w14:paraId="085AFCCC"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bottom"/>
          </w:tcPr>
          <w:p w14:paraId="25A0C8AC"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654" w:type="pct"/>
            <w:tcBorders>
              <w:top w:val="nil"/>
              <w:left w:val="nil"/>
              <w:bottom w:val="nil"/>
              <w:right w:val="nil"/>
            </w:tcBorders>
            <w:shd w:val="clear" w:color="auto" w:fill="auto"/>
            <w:vAlign w:val="bottom"/>
          </w:tcPr>
          <w:p w14:paraId="243F288E"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2603A0A9"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bottom"/>
          </w:tcPr>
          <w:p w14:paraId="74373B66"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r>
      <w:tr w:rsidR="00D87FFA" w:rsidRPr="000604BD" w14:paraId="257E3339" w14:textId="77777777" w:rsidTr="003C62AB">
        <w:trPr>
          <w:trHeight w:val="300"/>
        </w:trPr>
        <w:tc>
          <w:tcPr>
            <w:tcW w:w="1123" w:type="pct"/>
            <w:tcBorders>
              <w:top w:val="nil"/>
              <w:left w:val="nil"/>
              <w:bottom w:val="nil"/>
              <w:right w:val="nil"/>
            </w:tcBorders>
            <w:shd w:val="clear" w:color="auto" w:fill="auto"/>
            <w:vAlign w:val="center"/>
          </w:tcPr>
          <w:p w14:paraId="2F930B02" w14:textId="77777777" w:rsidR="00D87FFA" w:rsidRPr="000604BD" w:rsidRDefault="00D87FFA" w:rsidP="003C62AB">
            <w:pPr>
              <w:spacing w:after="0" w:line="240" w:lineRule="auto"/>
              <w:rPr>
                <w:rFonts w:ascii="Garamond" w:eastAsia="Times New Roman" w:hAnsi="Garamond" w:cs="Times New Roman"/>
                <w:b/>
                <w:bCs/>
                <w:color w:val="000000"/>
                <w:sz w:val="16"/>
                <w:szCs w:val="16"/>
                <w:lang w:val="en-GB"/>
              </w:rPr>
            </w:pPr>
            <w:r w:rsidRPr="000604BD">
              <w:rPr>
                <w:rFonts w:ascii="Garamond" w:eastAsia="Times New Roman" w:hAnsi="Garamond" w:cs="Times New Roman"/>
                <w:b/>
                <w:bCs/>
                <w:color w:val="000000"/>
                <w:sz w:val="16"/>
                <w:szCs w:val="16"/>
                <w:lang w:val="en-GB"/>
              </w:rPr>
              <w:t>Plastics &amp; Rubber</w:t>
            </w:r>
          </w:p>
        </w:tc>
        <w:tc>
          <w:tcPr>
            <w:tcW w:w="801" w:type="pct"/>
            <w:tcBorders>
              <w:top w:val="nil"/>
              <w:left w:val="nil"/>
              <w:bottom w:val="nil"/>
              <w:right w:val="nil"/>
            </w:tcBorders>
            <w:shd w:val="clear" w:color="auto" w:fill="auto"/>
            <w:vAlign w:val="bottom"/>
          </w:tcPr>
          <w:p w14:paraId="371A0D8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Calibri" w:eastAsia="Times New Roman" w:hAnsi="Calibri" w:cs="Times New Roman"/>
                <w:color w:val="000000"/>
                <w:sz w:val="24"/>
                <w:szCs w:val="24"/>
                <w:lang w:val="en-GB"/>
              </w:rPr>
              <w:t> </w:t>
            </w:r>
          </w:p>
        </w:tc>
        <w:tc>
          <w:tcPr>
            <w:tcW w:w="830" w:type="pct"/>
            <w:tcBorders>
              <w:top w:val="nil"/>
              <w:left w:val="nil"/>
              <w:bottom w:val="nil"/>
              <w:right w:val="nil"/>
            </w:tcBorders>
            <w:shd w:val="clear" w:color="auto" w:fill="auto"/>
            <w:vAlign w:val="center"/>
          </w:tcPr>
          <w:p w14:paraId="7D8546DC"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7CFC51D1"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bottom"/>
          </w:tcPr>
          <w:p w14:paraId="76DBAE57"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Calibri" w:eastAsia="Times New Roman" w:hAnsi="Calibri" w:cs="Times New Roman"/>
                <w:color w:val="000000"/>
                <w:sz w:val="24"/>
                <w:szCs w:val="24"/>
                <w:lang w:val="en-GB"/>
              </w:rPr>
              <w:t> </w:t>
            </w:r>
          </w:p>
        </w:tc>
        <w:tc>
          <w:tcPr>
            <w:tcW w:w="801" w:type="pct"/>
            <w:tcBorders>
              <w:top w:val="nil"/>
              <w:left w:val="nil"/>
              <w:bottom w:val="nil"/>
              <w:right w:val="nil"/>
            </w:tcBorders>
            <w:shd w:val="clear" w:color="auto" w:fill="auto"/>
            <w:vAlign w:val="bottom"/>
          </w:tcPr>
          <w:p w14:paraId="64BC43B4"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r>
      <w:tr w:rsidR="00D87FFA" w:rsidRPr="000604BD" w14:paraId="22CBBF64" w14:textId="77777777" w:rsidTr="003C62AB">
        <w:trPr>
          <w:trHeight w:val="300"/>
        </w:trPr>
        <w:tc>
          <w:tcPr>
            <w:tcW w:w="1123" w:type="pct"/>
            <w:tcBorders>
              <w:top w:val="nil"/>
              <w:left w:val="nil"/>
              <w:bottom w:val="nil"/>
              <w:right w:val="nil"/>
            </w:tcBorders>
            <w:shd w:val="clear" w:color="auto" w:fill="auto"/>
            <w:vAlign w:val="center"/>
          </w:tcPr>
          <w:p w14:paraId="757FDB95" w14:textId="77777777" w:rsidR="00D87FFA" w:rsidRPr="000604BD" w:rsidRDefault="00D87FFA" w:rsidP="003C62AB">
            <w:pPr>
              <w:spacing w:after="0" w:line="240" w:lineRule="auto"/>
              <w:rPr>
                <w:rFonts w:ascii="Garamond" w:eastAsia="Times New Roman" w:hAnsi="Garamond" w:cs="Times New Roman"/>
                <w:b/>
                <w:bCs/>
                <w:color w:val="000000"/>
                <w:sz w:val="16"/>
                <w:szCs w:val="16"/>
                <w:lang w:val="en-GB"/>
              </w:rPr>
            </w:pPr>
            <w:r w:rsidRPr="000604BD">
              <w:rPr>
                <w:rFonts w:ascii="Garamond" w:eastAsia="Times New Roman" w:hAnsi="Garamond" w:cs="Times New Roman"/>
                <w:b/>
                <w:bCs/>
                <w:color w:val="000000"/>
                <w:sz w:val="16"/>
                <w:szCs w:val="16"/>
                <w:lang w:val="en-GB"/>
              </w:rPr>
              <w:t>Software &amp; IT services</w:t>
            </w:r>
          </w:p>
        </w:tc>
        <w:tc>
          <w:tcPr>
            <w:tcW w:w="801" w:type="pct"/>
            <w:tcBorders>
              <w:top w:val="nil"/>
              <w:left w:val="nil"/>
              <w:bottom w:val="nil"/>
              <w:right w:val="nil"/>
            </w:tcBorders>
            <w:shd w:val="clear" w:color="auto" w:fill="auto"/>
            <w:vAlign w:val="center"/>
          </w:tcPr>
          <w:p w14:paraId="4517E714"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30" w:type="pct"/>
            <w:tcBorders>
              <w:top w:val="nil"/>
              <w:left w:val="nil"/>
              <w:bottom w:val="nil"/>
              <w:right w:val="nil"/>
            </w:tcBorders>
            <w:shd w:val="clear" w:color="auto" w:fill="auto"/>
            <w:vAlign w:val="center"/>
          </w:tcPr>
          <w:p w14:paraId="4108BF29"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Garamond" w:eastAsia="Times New Roman" w:hAnsi="Garamond" w:cs="Times New Roman"/>
                <w:color w:val="000000"/>
                <w:sz w:val="16"/>
                <w:szCs w:val="16"/>
                <w:lang w:val="en-GB"/>
              </w:rPr>
              <w:t>X</w:t>
            </w:r>
          </w:p>
        </w:tc>
        <w:tc>
          <w:tcPr>
            <w:tcW w:w="654" w:type="pct"/>
            <w:tcBorders>
              <w:top w:val="nil"/>
              <w:left w:val="nil"/>
              <w:bottom w:val="nil"/>
              <w:right w:val="nil"/>
            </w:tcBorders>
            <w:shd w:val="clear" w:color="auto" w:fill="auto"/>
            <w:vAlign w:val="bottom"/>
          </w:tcPr>
          <w:p w14:paraId="079A5A05"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Calibri" w:eastAsia="Times New Roman" w:hAnsi="Calibri" w:cs="Times New Roman"/>
                <w:color w:val="000000"/>
                <w:sz w:val="24"/>
                <w:szCs w:val="24"/>
                <w:lang w:val="en-GB"/>
              </w:rPr>
              <w:t> </w:t>
            </w:r>
          </w:p>
        </w:tc>
        <w:tc>
          <w:tcPr>
            <w:tcW w:w="791" w:type="pct"/>
            <w:tcBorders>
              <w:top w:val="nil"/>
              <w:left w:val="nil"/>
              <w:bottom w:val="nil"/>
              <w:right w:val="nil"/>
            </w:tcBorders>
            <w:shd w:val="clear" w:color="auto" w:fill="auto"/>
            <w:vAlign w:val="center"/>
          </w:tcPr>
          <w:p w14:paraId="477C284A" w14:textId="77777777" w:rsidR="00D87FFA" w:rsidRPr="000604BD" w:rsidRDefault="00D87FFA" w:rsidP="003C62AB">
            <w:pPr>
              <w:spacing w:after="0" w:line="240" w:lineRule="auto"/>
              <w:jc w:val="center"/>
              <w:rPr>
                <w:rFonts w:ascii="Garamond" w:eastAsia="Times New Roman" w:hAnsi="Garamond" w:cs="Times New Roman"/>
                <w:color w:val="000000"/>
                <w:sz w:val="16"/>
                <w:szCs w:val="16"/>
                <w:lang w:val="en-GB"/>
              </w:rPr>
            </w:pPr>
            <w:r w:rsidRPr="000604BD">
              <w:rPr>
                <w:rFonts w:ascii="Garamond" w:eastAsia="Times New Roman" w:hAnsi="Garamond" w:cs="Times New Roman"/>
                <w:color w:val="000000"/>
                <w:sz w:val="16"/>
                <w:szCs w:val="16"/>
                <w:lang w:val="en-GB"/>
              </w:rPr>
              <w:t>X</w:t>
            </w:r>
          </w:p>
        </w:tc>
        <w:tc>
          <w:tcPr>
            <w:tcW w:w="801" w:type="pct"/>
            <w:tcBorders>
              <w:top w:val="nil"/>
              <w:left w:val="nil"/>
              <w:bottom w:val="nil"/>
              <w:right w:val="nil"/>
            </w:tcBorders>
            <w:shd w:val="clear" w:color="auto" w:fill="auto"/>
            <w:vAlign w:val="center"/>
          </w:tcPr>
          <w:p w14:paraId="01227AC0" w14:textId="77777777" w:rsidR="00D87FFA" w:rsidRPr="000604BD" w:rsidRDefault="00D87FFA" w:rsidP="003C62AB">
            <w:pPr>
              <w:spacing w:after="0" w:line="240" w:lineRule="auto"/>
              <w:jc w:val="center"/>
              <w:rPr>
                <w:rFonts w:ascii="Calibri" w:eastAsia="Times New Roman" w:hAnsi="Calibri" w:cs="Times New Roman"/>
                <w:color w:val="000000"/>
                <w:sz w:val="24"/>
                <w:szCs w:val="24"/>
                <w:lang w:val="en-GB"/>
              </w:rPr>
            </w:pPr>
            <w:r w:rsidRPr="000604BD">
              <w:rPr>
                <w:rFonts w:ascii="Garamond" w:eastAsia="Times New Roman" w:hAnsi="Garamond" w:cs="Times New Roman"/>
                <w:color w:val="000000"/>
                <w:sz w:val="16"/>
                <w:szCs w:val="16"/>
                <w:lang w:val="en-GB"/>
              </w:rPr>
              <w:t>X</w:t>
            </w:r>
          </w:p>
        </w:tc>
      </w:tr>
    </w:tbl>
    <w:p w14:paraId="4FB1A030" w14:textId="77777777" w:rsidR="00D87FFA" w:rsidRPr="000604BD" w:rsidRDefault="00D87FFA" w:rsidP="00D87FFA">
      <w:pPr>
        <w:spacing w:before="120" w:after="0"/>
        <w:jc w:val="center"/>
        <w:rPr>
          <w:rFonts w:ascii="Garamond" w:hAnsi="Garamond" w:cs="Times New Roman"/>
          <w:sz w:val="16"/>
          <w:szCs w:val="16"/>
          <w:lang w:val="en-GB"/>
        </w:rPr>
      </w:pPr>
      <w:r w:rsidRPr="000604BD">
        <w:rPr>
          <w:rFonts w:ascii="Garamond" w:hAnsi="Garamond" w:cs="Times New Roman"/>
          <w:sz w:val="16"/>
          <w:szCs w:val="16"/>
          <w:lang w:val="en-GB"/>
        </w:rPr>
        <w:t>Source: EMENDATA</w:t>
      </w:r>
    </w:p>
    <w:p w14:paraId="73D6D166" w14:textId="77777777" w:rsidR="00165E49" w:rsidRDefault="00165E49">
      <w:pPr>
        <w:rPr>
          <w:rFonts w:ascii="Garamond" w:hAnsi="Garamond" w:cs="Times New Roman"/>
          <w:b/>
          <w:sz w:val="16"/>
          <w:szCs w:val="16"/>
          <w:lang w:val="en-GB"/>
        </w:rPr>
      </w:pPr>
      <w:r>
        <w:rPr>
          <w:rFonts w:ascii="Garamond" w:hAnsi="Garamond" w:cs="Times New Roman"/>
          <w:b/>
          <w:sz w:val="16"/>
          <w:szCs w:val="16"/>
          <w:lang w:val="en-GB"/>
        </w:rPr>
        <w:br w:type="page"/>
      </w:r>
    </w:p>
    <w:p w14:paraId="3C57DB73" w14:textId="76B24D2C" w:rsidR="000A0C53" w:rsidRPr="000604BD" w:rsidRDefault="000A0C53" w:rsidP="00622F91">
      <w:pPr>
        <w:pStyle w:val="ListParagraph"/>
        <w:numPr>
          <w:ilvl w:val="0"/>
          <w:numId w:val="3"/>
        </w:numPr>
        <w:rPr>
          <w:rFonts w:ascii="Garamond" w:hAnsi="Garamond" w:cs="Times New Roman"/>
          <w:b/>
          <w:sz w:val="28"/>
          <w:szCs w:val="28"/>
          <w:lang w:val="en-GB"/>
        </w:rPr>
      </w:pPr>
      <w:r w:rsidRPr="000604BD">
        <w:rPr>
          <w:rFonts w:ascii="Garamond" w:hAnsi="Garamond" w:cs="Times New Roman"/>
          <w:b/>
          <w:sz w:val="28"/>
          <w:szCs w:val="28"/>
          <w:lang w:val="en-GB"/>
        </w:rPr>
        <w:lastRenderedPageBreak/>
        <w:t>Concluding remarks</w:t>
      </w:r>
      <w:r w:rsidR="00795E96">
        <w:rPr>
          <w:rFonts w:ascii="Garamond" w:hAnsi="Garamond" w:cs="Times New Roman"/>
          <w:b/>
          <w:sz w:val="28"/>
          <w:szCs w:val="28"/>
          <w:lang w:val="en-GB"/>
        </w:rPr>
        <w:t xml:space="preserve"> (very preliminary)</w:t>
      </w:r>
    </w:p>
    <w:p w14:paraId="118A9230" w14:textId="77777777" w:rsidR="000A0C53" w:rsidRPr="00795E96" w:rsidRDefault="007D55CD" w:rsidP="000A0C53">
      <w:pPr>
        <w:spacing w:line="360" w:lineRule="auto"/>
        <w:jc w:val="both"/>
        <w:rPr>
          <w:rFonts w:ascii="Garamond" w:hAnsi="Garamond" w:cs="Times New Roman"/>
          <w:lang w:val="en-GB"/>
        </w:rPr>
      </w:pPr>
      <w:r w:rsidRPr="000604BD">
        <w:rPr>
          <w:rFonts w:ascii="Garamond" w:hAnsi="Garamond" w:cs="Times New Roman"/>
          <w:lang w:val="en-GB"/>
        </w:rPr>
        <w:t>Some recent attempts has</w:t>
      </w:r>
      <w:r w:rsidR="000A0C53" w:rsidRPr="000604BD">
        <w:rPr>
          <w:rFonts w:ascii="Garamond" w:hAnsi="Garamond" w:cs="Times New Roman"/>
          <w:lang w:val="en-GB"/>
        </w:rPr>
        <w:t xml:space="preserve"> been made to adopt a BG perspective to analyse economic issues such as the relationships between organisational structure and intra-firm production decisions (such as in Altomonte and </w:t>
      </w:r>
      <w:r w:rsidR="00A2118C" w:rsidRPr="000604BD">
        <w:rPr>
          <w:rFonts w:ascii="Garamond" w:hAnsi="Garamond" w:cs="Times New Roman"/>
          <w:lang w:val="en-GB"/>
        </w:rPr>
        <w:t xml:space="preserve">Rungi, 2013). BG level also allows an in-depth analysis of international expansion strategies of EMNEs and this is </w:t>
      </w:r>
      <w:r w:rsidR="000A0C53" w:rsidRPr="000604BD">
        <w:rPr>
          <w:rFonts w:ascii="Garamond" w:hAnsi="Garamond" w:cs="Times New Roman"/>
          <w:lang w:val="en-GB"/>
        </w:rPr>
        <w:t xml:space="preserve">likely to be one of the most promising avenues for future empirical research on emerging market multinationals. In particular, these might include analyses of intra-group strategies and their impact on group performance and </w:t>
      </w:r>
      <w:r w:rsidR="000A0C53" w:rsidRPr="00795E96">
        <w:rPr>
          <w:rFonts w:ascii="Garamond" w:hAnsi="Garamond" w:cs="Times New Roman"/>
          <w:lang w:val="en-GB"/>
        </w:rPr>
        <w:t>productivity, as well as global value chain analyses (see e.g. Crescenzi et al 2013).</w:t>
      </w:r>
      <w:r w:rsidR="00A2118C" w:rsidRPr="00795E96">
        <w:rPr>
          <w:rFonts w:ascii="Garamond" w:hAnsi="Garamond" w:cs="Times New Roman"/>
          <w:lang w:val="en-GB"/>
        </w:rPr>
        <w:t xml:space="preserve"> </w:t>
      </w:r>
    </w:p>
    <w:p w14:paraId="0C16F2E3" w14:textId="1161F332" w:rsidR="00D76CEA" w:rsidRPr="00795E96" w:rsidRDefault="00795E96" w:rsidP="00795E96">
      <w:pPr>
        <w:spacing w:line="360" w:lineRule="auto"/>
        <w:jc w:val="both"/>
        <w:rPr>
          <w:rFonts w:ascii="Garamond" w:hAnsi="Garamond" w:cs="Times New Roman"/>
          <w:lang w:val="en-GB"/>
        </w:rPr>
      </w:pPr>
      <w:r w:rsidRPr="00795E96">
        <w:rPr>
          <w:rFonts w:ascii="Garamond" w:hAnsi="Garamond" w:cs="Times New Roman"/>
          <w:lang w:val="en-GB"/>
        </w:rPr>
        <w:t xml:space="preserve">In this paper we have started to </w:t>
      </w:r>
      <w:r>
        <w:rPr>
          <w:rFonts w:ascii="Garamond" w:hAnsi="Garamond" w:cs="Times New Roman"/>
          <w:lang w:val="en-GB"/>
        </w:rPr>
        <w:t xml:space="preserve">analyse diversification strategies of BGs from China and India when entering Europe, the second most favoured destination for their outward expansion. We rely on a new database, EMENDATA, gathering firm-level data on investing companies from emerging economies in European countries since 2003, which allow grouping investors by the BG they belong to. We build a typology of BGs according to their patterns of product and geographical diversification. </w:t>
      </w:r>
      <w:r w:rsidR="00E17F8F">
        <w:rPr>
          <w:rFonts w:ascii="Garamond" w:hAnsi="Garamond" w:cs="Times New Roman"/>
          <w:lang w:val="en-GB"/>
        </w:rPr>
        <w:t xml:space="preserve">We find a number of similarities and differences in the outward expansion of Chinese and Indian BGs in Europe. </w:t>
      </w:r>
      <w:r w:rsidR="00C85617" w:rsidRPr="000604BD">
        <w:rPr>
          <w:rFonts w:ascii="Garamond" w:hAnsi="Garamond" w:cs="Times New Roman"/>
          <w:lang w:val="en-GB"/>
        </w:rPr>
        <w:t>We find that the majority of Chinese and Indian BGs entering Europe fall in two categories: BGs with extremely limited multinational activity (just one affiliate), and BGs pursuing broader and complex internationalisation strategies encompassing industry and geographical diversification, as well as multiple entry modes.</w:t>
      </w:r>
      <w:r w:rsidR="00627722">
        <w:rPr>
          <w:rFonts w:ascii="Garamond" w:hAnsi="Garamond" w:cs="Times New Roman"/>
          <w:lang w:val="en-GB"/>
        </w:rPr>
        <w:t xml:space="preserve"> Overall, internationalisation strategies of Chinese and Indian differ much more prominently in terms of sector spread than geographical spread.</w:t>
      </w:r>
    </w:p>
    <w:p w14:paraId="68A2F6D2" w14:textId="77777777" w:rsidR="00795E96" w:rsidRDefault="00795E96">
      <w:pPr>
        <w:rPr>
          <w:rFonts w:ascii="Garamond" w:hAnsi="Garamond" w:cs="Times New Roman"/>
          <w:b/>
          <w:sz w:val="28"/>
          <w:szCs w:val="28"/>
          <w:lang w:val="en-GB"/>
        </w:rPr>
      </w:pPr>
      <w:r>
        <w:rPr>
          <w:rFonts w:ascii="Garamond" w:hAnsi="Garamond" w:cs="Times New Roman"/>
          <w:b/>
          <w:sz w:val="28"/>
          <w:szCs w:val="28"/>
          <w:lang w:val="en-GB"/>
        </w:rPr>
        <w:br w:type="page"/>
      </w:r>
    </w:p>
    <w:p w14:paraId="6770B1D3" w14:textId="4BDC973E" w:rsidR="00D76CEA" w:rsidRPr="000604BD" w:rsidRDefault="00D76CEA" w:rsidP="00D76CEA">
      <w:pPr>
        <w:spacing w:after="0" w:line="360" w:lineRule="auto"/>
        <w:ind w:right="-7"/>
        <w:rPr>
          <w:rFonts w:ascii="Garamond" w:hAnsi="Garamond" w:cs="Times New Roman"/>
          <w:b/>
          <w:sz w:val="28"/>
          <w:szCs w:val="28"/>
          <w:lang w:val="en-GB"/>
        </w:rPr>
      </w:pPr>
      <w:r w:rsidRPr="000604BD">
        <w:rPr>
          <w:rFonts w:ascii="Garamond" w:hAnsi="Garamond" w:cs="Times New Roman"/>
          <w:b/>
          <w:sz w:val="28"/>
          <w:szCs w:val="28"/>
          <w:lang w:val="en-GB"/>
        </w:rPr>
        <w:lastRenderedPageBreak/>
        <w:t>References</w:t>
      </w:r>
    </w:p>
    <w:p w14:paraId="016D1BC3" w14:textId="77777777" w:rsidR="004A7CF3" w:rsidRPr="000604BD" w:rsidRDefault="004A7CF3" w:rsidP="00D76CEA">
      <w:pPr>
        <w:pStyle w:val="BodyTextIndent"/>
        <w:tabs>
          <w:tab w:val="left" w:pos="851"/>
        </w:tabs>
        <w:spacing w:line="360" w:lineRule="auto"/>
        <w:ind w:left="709" w:right="-7" w:hanging="709"/>
        <w:rPr>
          <w:rFonts w:ascii="Garamond" w:hAnsi="Garamond"/>
          <w:sz w:val="22"/>
          <w:szCs w:val="22"/>
          <w:lang w:val="en-GB"/>
        </w:rPr>
      </w:pPr>
      <w:r w:rsidRPr="000604BD">
        <w:rPr>
          <w:rFonts w:ascii="Garamond" w:hAnsi="Garamond"/>
          <w:sz w:val="22"/>
          <w:szCs w:val="22"/>
          <w:lang w:val="en-GB"/>
        </w:rPr>
        <w:t>Altomonte C. &amp; Rungi A. (2013) Business groups as hierarchies of firms. Determinants of vertical integration and performance”, European Central Bank Working Paper Series, n. 1554.</w:t>
      </w:r>
    </w:p>
    <w:p w14:paraId="51CEB266" w14:textId="77777777" w:rsidR="004A7CF3" w:rsidRPr="000604BD" w:rsidRDefault="004A7CF3" w:rsidP="00D76CEA">
      <w:pPr>
        <w:autoSpaceDE w:val="0"/>
        <w:autoSpaceDN w:val="0"/>
        <w:adjustRightInd w:val="0"/>
        <w:spacing w:after="0" w:line="360" w:lineRule="auto"/>
        <w:ind w:left="709" w:hanging="709"/>
        <w:jc w:val="both"/>
        <w:rPr>
          <w:rFonts w:ascii="Garamond" w:hAnsi="Garamond" w:cs="Times New Roman"/>
          <w:lang w:val="en-GB"/>
        </w:rPr>
      </w:pPr>
      <w:r w:rsidRPr="000604BD">
        <w:rPr>
          <w:rFonts w:ascii="Garamond" w:hAnsi="Garamond" w:cs="Times New Roman"/>
          <w:lang w:val="en-GB"/>
        </w:rPr>
        <w:t>Altomonte, C., F. di Mauro, G. I. P. Ottaviano, A. Rungi, and V. Vicard, (2012), "Global Value Chains during the Great Trade Collapse: a Bullwhip Effect?", ECB Working Paper N. 1412.</w:t>
      </w:r>
    </w:p>
    <w:p w14:paraId="019ED37E" w14:textId="77777777" w:rsidR="004A7CF3" w:rsidRPr="000604BD" w:rsidRDefault="004A7CF3" w:rsidP="00D76CEA">
      <w:pPr>
        <w:pStyle w:val="BodyTextIndent"/>
        <w:tabs>
          <w:tab w:val="left" w:pos="851"/>
        </w:tabs>
        <w:spacing w:line="360" w:lineRule="auto"/>
        <w:ind w:left="709" w:right="-7" w:hanging="709"/>
        <w:rPr>
          <w:rFonts w:ascii="Garamond" w:hAnsi="Garamond"/>
          <w:iCs/>
          <w:sz w:val="22"/>
          <w:szCs w:val="22"/>
          <w:lang w:val="en-GB"/>
        </w:rPr>
      </w:pPr>
      <w:r w:rsidRPr="000604BD">
        <w:rPr>
          <w:rFonts w:ascii="Garamond" w:hAnsi="Garamond"/>
          <w:iCs/>
          <w:sz w:val="22"/>
          <w:szCs w:val="22"/>
          <w:lang w:val="en-GB"/>
        </w:rPr>
        <w:t xml:space="preserve">Amighini A. &amp; Franco C. (2013), A sector perspective on Chinese outward FDI: The automotive case, </w:t>
      </w:r>
      <w:r w:rsidRPr="000604BD">
        <w:rPr>
          <w:rFonts w:ascii="Garamond" w:hAnsi="Garamond"/>
          <w:i/>
          <w:iCs/>
          <w:sz w:val="22"/>
          <w:szCs w:val="22"/>
          <w:lang w:val="en-GB"/>
        </w:rPr>
        <w:t>China Economic Review</w:t>
      </w:r>
      <w:r w:rsidRPr="000604BD">
        <w:rPr>
          <w:rFonts w:ascii="Garamond" w:hAnsi="Garamond"/>
          <w:iCs/>
          <w:sz w:val="22"/>
          <w:szCs w:val="22"/>
          <w:lang w:val="en-GB"/>
        </w:rPr>
        <w:t xml:space="preserve">, </w:t>
      </w:r>
      <w:hyperlink r:id="rId12" w:tooltip="Go to table of contents for this volume/issue" w:history="1">
        <w:r w:rsidRPr="000604BD">
          <w:rPr>
            <w:rStyle w:val="Hyperlink"/>
            <w:rFonts w:ascii="Garamond" w:hAnsi="Garamond"/>
            <w:sz w:val="22"/>
            <w:szCs w:val="22"/>
            <w:lang w:val="en-GB"/>
          </w:rPr>
          <w:t>27</w:t>
        </w:r>
      </w:hyperlink>
      <w:r w:rsidRPr="000604BD">
        <w:rPr>
          <w:rFonts w:ascii="Garamond" w:hAnsi="Garamond"/>
          <w:sz w:val="22"/>
          <w:szCs w:val="22"/>
          <w:lang w:val="en-GB"/>
        </w:rPr>
        <w:t>, 148–161.</w:t>
      </w:r>
      <w:r w:rsidRPr="000604BD">
        <w:rPr>
          <w:rFonts w:ascii="Garamond" w:hAnsi="Garamond"/>
          <w:iCs/>
          <w:sz w:val="22"/>
          <w:szCs w:val="22"/>
          <w:lang w:val="en-GB"/>
        </w:rPr>
        <w:t xml:space="preserve"> </w:t>
      </w:r>
    </w:p>
    <w:p w14:paraId="45243EF2" w14:textId="77777777" w:rsidR="004A7CF3" w:rsidRPr="000604BD" w:rsidRDefault="004A7CF3" w:rsidP="00D76CEA">
      <w:pPr>
        <w:pStyle w:val="BodyTextIndent"/>
        <w:tabs>
          <w:tab w:val="left" w:pos="851"/>
        </w:tabs>
        <w:spacing w:line="360" w:lineRule="auto"/>
        <w:ind w:left="709" w:right="-7" w:hanging="709"/>
        <w:rPr>
          <w:rFonts w:ascii="Garamond" w:hAnsi="Garamond"/>
          <w:iCs/>
          <w:sz w:val="22"/>
          <w:szCs w:val="22"/>
          <w:lang w:val="en-GB"/>
        </w:rPr>
      </w:pPr>
      <w:r w:rsidRPr="000604BD">
        <w:rPr>
          <w:rFonts w:ascii="Garamond" w:hAnsi="Garamond"/>
          <w:sz w:val="22"/>
          <w:szCs w:val="22"/>
          <w:lang w:val="en-GB"/>
        </w:rPr>
        <w:t xml:space="preserve">Amighini A., Rabellotti R. &amp; Sanfilippo M. (2013a) China's outward FDI: An industry-level analysis of host-country determinants, </w:t>
      </w:r>
      <w:r w:rsidRPr="000604BD">
        <w:rPr>
          <w:rFonts w:ascii="Garamond" w:hAnsi="Garamond"/>
          <w:i/>
          <w:iCs/>
          <w:sz w:val="22"/>
          <w:szCs w:val="22"/>
          <w:lang w:val="en-GB"/>
        </w:rPr>
        <w:t xml:space="preserve">Frontiers of Economics in China, </w:t>
      </w:r>
      <w:r w:rsidRPr="000604BD">
        <w:rPr>
          <w:rFonts w:ascii="Garamond" w:hAnsi="Garamond"/>
          <w:iCs/>
          <w:sz w:val="22"/>
          <w:szCs w:val="22"/>
          <w:lang w:val="en-GB"/>
        </w:rPr>
        <w:t>8(3), 903-936</w:t>
      </w:r>
      <w:r w:rsidRPr="000604BD">
        <w:rPr>
          <w:rFonts w:ascii="Garamond" w:hAnsi="Garamond"/>
          <w:sz w:val="22"/>
          <w:szCs w:val="22"/>
          <w:lang w:val="en-GB"/>
        </w:rPr>
        <w:t>.</w:t>
      </w:r>
    </w:p>
    <w:p w14:paraId="1A8FB045" w14:textId="77777777" w:rsidR="004A7CF3" w:rsidRPr="000604BD" w:rsidRDefault="004A7CF3" w:rsidP="00D76CEA">
      <w:pPr>
        <w:pStyle w:val="BodyTextIndent"/>
        <w:tabs>
          <w:tab w:val="left" w:pos="851"/>
        </w:tabs>
        <w:spacing w:line="360" w:lineRule="auto"/>
        <w:ind w:left="709" w:right="-7" w:hanging="709"/>
        <w:rPr>
          <w:rFonts w:ascii="Garamond" w:hAnsi="Garamond"/>
          <w:iCs/>
          <w:sz w:val="22"/>
          <w:szCs w:val="22"/>
          <w:lang w:val="en-GB"/>
        </w:rPr>
      </w:pPr>
      <w:r w:rsidRPr="000604BD">
        <w:rPr>
          <w:rFonts w:ascii="Garamond" w:hAnsi="Garamond"/>
          <w:sz w:val="22"/>
          <w:szCs w:val="22"/>
          <w:lang w:val="en-GB"/>
        </w:rPr>
        <w:t xml:space="preserve">Amighini A., Rabellotti R. &amp; Sanfilippo M., (2013b), </w:t>
      </w:r>
      <w:r w:rsidRPr="000604BD">
        <w:rPr>
          <w:rFonts w:ascii="Garamond" w:hAnsi="Garamond"/>
          <w:iCs/>
          <w:sz w:val="22"/>
          <w:szCs w:val="22"/>
          <w:lang w:val="en-GB"/>
        </w:rPr>
        <w:t xml:space="preserve">Do Chinese State-Owned and private Enterprises Differ in their Internationalization Strategies? </w:t>
      </w:r>
      <w:r w:rsidRPr="000604BD">
        <w:rPr>
          <w:rFonts w:ascii="Garamond" w:hAnsi="Garamond"/>
          <w:i/>
          <w:iCs/>
          <w:sz w:val="22"/>
          <w:szCs w:val="22"/>
          <w:lang w:val="en-GB"/>
        </w:rPr>
        <w:t>China Economic Review</w:t>
      </w:r>
      <w:r w:rsidRPr="000604BD">
        <w:rPr>
          <w:rFonts w:ascii="Garamond" w:hAnsi="Garamond"/>
          <w:iCs/>
          <w:sz w:val="22"/>
          <w:szCs w:val="22"/>
          <w:lang w:val="en-GB"/>
        </w:rPr>
        <w:t xml:space="preserve">: http://dx.doi.org/10.1016/j.chieco.2013.02.003 </w:t>
      </w:r>
    </w:p>
    <w:p w14:paraId="156A0AA8" w14:textId="77777777" w:rsidR="004A7CF3" w:rsidRPr="000604BD" w:rsidRDefault="004A7CF3" w:rsidP="00D76CEA">
      <w:pPr>
        <w:autoSpaceDE w:val="0"/>
        <w:autoSpaceDN w:val="0"/>
        <w:adjustRightInd w:val="0"/>
        <w:spacing w:after="0" w:line="360" w:lineRule="auto"/>
        <w:ind w:left="709" w:hanging="709"/>
        <w:jc w:val="both"/>
        <w:rPr>
          <w:rFonts w:ascii="Garamond" w:hAnsi="Garamond" w:cs="Times New Roman"/>
          <w:lang w:val="en-GB"/>
        </w:rPr>
      </w:pPr>
      <w:r w:rsidRPr="000604BD">
        <w:rPr>
          <w:rFonts w:ascii="Garamond" w:hAnsi="Garamond" w:cs="Times New Roman"/>
          <w:lang w:val="en-GB"/>
        </w:rPr>
        <w:t xml:space="preserve">Amighini, A., Cozza, C. Giuliani, E., Rabellotti, R. &amp; Scalera, V. G. (forthcoming b), </w:t>
      </w:r>
      <w:r w:rsidRPr="000604BD">
        <w:rPr>
          <w:rFonts w:ascii="Garamond" w:hAnsi="Garamond"/>
          <w:lang w:val="en-GB"/>
        </w:rPr>
        <w:t>Emerging-market multinationals: what theories suggest, what evidence shows. A survey of the literature</w:t>
      </w:r>
      <w:r w:rsidRPr="000604BD">
        <w:rPr>
          <w:rFonts w:ascii="Garamond" w:hAnsi="Garamond" w:cs="Times New Roman"/>
          <w:i/>
          <w:lang w:val="en-GB"/>
        </w:rPr>
        <w:t>, Economia e Politica Industriale</w:t>
      </w:r>
      <w:r w:rsidRPr="000604BD">
        <w:rPr>
          <w:rFonts w:ascii="Garamond" w:hAnsi="Garamond" w:cs="Times New Roman"/>
          <w:lang w:val="en-GB"/>
        </w:rPr>
        <w:t xml:space="preserve">. </w:t>
      </w:r>
    </w:p>
    <w:p w14:paraId="20277C5D" w14:textId="77777777" w:rsidR="004A7CF3" w:rsidRPr="000604BD" w:rsidRDefault="004A7CF3" w:rsidP="00D76CEA">
      <w:pPr>
        <w:autoSpaceDE w:val="0"/>
        <w:autoSpaceDN w:val="0"/>
        <w:adjustRightInd w:val="0"/>
        <w:spacing w:after="0" w:line="360" w:lineRule="auto"/>
        <w:ind w:left="709" w:hanging="709"/>
        <w:jc w:val="both"/>
        <w:rPr>
          <w:rFonts w:ascii="Garamond" w:hAnsi="Garamond" w:cs="Times New Roman"/>
          <w:lang w:val="en-GB"/>
        </w:rPr>
      </w:pPr>
      <w:r w:rsidRPr="000604BD">
        <w:rPr>
          <w:rFonts w:ascii="Garamond" w:hAnsi="Garamond" w:cs="Times New Roman"/>
          <w:lang w:val="en-GB"/>
        </w:rPr>
        <w:t xml:space="preserve">Amighini, A., Cozza, C., Rabellotti, R. &amp; Sanfilippo, M. (forthcoming a), </w:t>
      </w:r>
      <w:r w:rsidRPr="000604BD">
        <w:rPr>
          <w:rFonts w:ascii="Garamond" w:hAnsi="Garamond"/>
          <w:lang w:val="en-GB"/>
        </w:rPr>
        <w:t xml:space="preserve">An analysis of Chinese outward FDIs: firm-level evidence and the way ahead, </w:t>
      </w:r>
      <w:r w:rsidRPr="000604BD">
        <w:rPr>
          <w:rFonts w:ascii="Garamond" w:hAnsi="Garamond" w:cs="Times New Roman"/>
          <w:i/>
          <w:lang w:val="en-GB"/>
        </w:rPr>
        <w:t>China and the World Economy</w:t>
      </w:r>
      <w:r w:rsidRPr="000604BD">
        <w:rPr>
          <w:rFonts w:ascii="Garamond" w:hAnsi="Garamond" w:cs="Times New Roman"/>
          <w:lang w:val="en-GB"/>
        </w:rPr>
        <w:t>.</w:t>
      </w:r>
    </w:p>
    <w:p w14:paraId="25DAD181" w14:textId="77777777" w:rsidR="004A7CF3" w:rsidRPr="000604BD" w:rsidRDefault="004A7CF3" w:rsidP="00D76CEA">
      <w:pPr>
        <w:autoSpaceDE w:val="0"/>
        <w:autoSpaceDN w:val="0"/>
        <w:adjustRightInd w:val="0"/>
        <w:spacing w:after="0" w:line="360" w:lineRule="auto"/>
        <w:ind w:left="709" w:hanging="709"/>
        <w:jc w:val="both"/>
        <w:rPr>
          <w:rFonts w:ascii="Garamond" w:hAnsi="Garamond" w:cs="Times New Roman"/>
          <w:lang w:val="en-GB"/>
        </w:rPr>
      </w:pPr>
      <w:r w:rsidRPr="000604BD">
        <w:rPr>
          <w:rFonts w:ascii="Garamond" w:hAnsi="Garamond" w:cs="Times New Roman"/>
          <w:lang w:val="en-GB"/>
        </w:rPr>
        <w:t xml:space="preserve">BEA (2012). U.S. Multinational Companies. Operations of U.S. Parents and Their Foreign A¢ liates in 2010. US Bureau of Economic Analysis, November 2012 (available at: </w:t>
      </w:r>
      <w:hyperlink r:id="rId13" w:history="1">
        <w:r w:rsidRPr="000604BD">
          <w:rPr>
            <w:rStyle w:val="Hyperlink"/>
            <w:rFonts w:ascii="Garamond" w:hAnsi="Garamond" w:cs="Times New Roman"/>
            <w:lang w:val="en-GB"/>
          </w:rPr>
          <w:t>http://www.bea.gov/scb/pdf/2012/11%20November/1112MNCs.pdf</w:t>
        </w:r>
      </w:hyperlink>
      <w:r w:rsidRPr="000604BD">
        <w:rPr>
          <w:rFonts w:ascii="Garamond" w:hAnsi="Garamond" w:cs="Times New Roman"/>
          <w:lang w:val="en-GB"/>
        </w:rPr>
        <w:t>).</w:t>
      </w:r>
    </w:p>
    <w:p w14:paraId="56A413E9"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color w:val="1A1A1A"/>
          <w:lang w:val="en-GB"/>
        </w:rPr>
      </w:pPr>
      <w:r w:rsidRPr="000604BD">
        <w:rPr>
          <w:rFonts w:ascii="Garamond" w:hAnsi="Garamond" w:cs="Times New Roman"/>
          <w:color w:val="1A1A1A"/>
          <w:lang w:val="en-GB"/>
        </w:rPr>
        <w:t xml:space="preserve">Bernarsconi-Osterwalder, N., Johnson, L. &amp; Zhang, J. (2012) </w:t>
      </w:r>
      <w:r w:rsidRPr="000604BD">
        <w:rPr>
          <w:rFonts w:ascii="Garamond" w:hAnsi="Garamond" w:cs="Times New Roman"/>
          <w:i/>
          <w:color w:val="1A1A1A"/>
          <w:lang w:val="en-GB"/>
        </w:rPr>
        <w:t>Chinese Outward Investment: An emerging policy framework</w:t>
      </w:r>
      <w:r w:rsidRPr="000604BD">
        <w:rPr>
          <w:rFonts w:ascii="Garamond" w:hAnsi="Garamond" w:cs="Times New Roman"/>
          <w:color w:val="1A1A1A"/>
          <w:lang w:val="en-GB"/>
        </w:rPr>
        <w:t>, the International Institute for Sustainable Development.</w:t>
      </w:r>
    </w:p>
    <w:p w14:paraId="6F9CA783" w14:textId="77777777" w:rsidR="004A7CF3" w:rsidRDefault="004A7CF3" w:rsidP="00EB31E9">
      <w:pPr>
        <w:autoSpaceDE w:val="0"/>
        <w:autoSpaceDN w:val="0"/>
        <w:adjustRightInd w:val="0"/>
        <w:spacing w:after="0" w:line="360" w:lineRule="auto"/>
        <w:rPr>
          <w:rFonts w:ascii="Garamond" w:hAnsi="Garamond" w:cs="Times New Roman"/>
          <w:lang w:val="en-GB"/>
        </w:rPr>
      </w:pPr>
      <w:r>
        <w:rPr>
          <w:rFonts w:ascii="Garamond" w:hAnsi="Garamond" w:cs="Times New Roman"/>
          <w:lang w:val="en-GB"/>
        </w:rPr>
        <w:t xml:space="preserve">Besanko, D., Dranove, D. and Shanley, M. (2000), </w:t>
      </w:r>
      <w:r w:rsidRPr="0053461C">
        <w:rPr>
          <w:rFonts w:ascii="Garamond" w:hAnsi="Garamond" w:cs="Times New Roman"/>
          <w:i/>
          <w:lang w:val="en-GB"/>
        </w:rPr>
        <w:t>Economics of Strategy</w:t>
      </w:r>
      <w:r>
        <w:rPr>
          <w:rFonts w:ascii="Garamond" w:hAnsi="Garamond" w:cs="Times New Roman"/>
          <w:lang w:val="en-GB"/>
        </w:rPr>
        <w:t>, New York: John Whiley.</w:t>
      </w:r>
    </w:p>
    <w:p w14:paraId="67D32C92"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color w:val="1A1A1A"/>
          <w:lang w:val="en-GB"/>
        </w:rPr>
        <w:t xml:space="preserve">Beugelsdijk, S., Hennart, J. F., Slangen, A., &amp; Smeets, R. (2010), Why and how FDI stocks are a biased measure of MNE affiliate activity, </w:t>
      </w:r>
      <w:r w:rsidRPr="000604BD">
        <w:rPr>
          <w:rFonts w:ascii="Garamond" w:hAnsi="Garamond" w:cs="Times New Roman"/>
          <w:i/>
          <w:iCs/>
          <w:color w:val="1A1A1A"/>
          <w:lang w:val="en-GB"/>
        </w:rPr>
        <w:t>Journal of International Business Studies</w:t>
      </w:r>
      <w:r w:rsidRPr="000604BD">
        <w:rPr>
          <w:rFonts w:ascii="Garamond" w:hAnsi="Garamond" w:cs="Times New Roman"/>
          <w:color w:val="1A1A1A"/>
          <w:lang w:val="en-GB"/>
        </w:rPr>
        <w:t xml:space="preserve">, </w:t>
      </w:r>
      <w:r w:rsidRPr="000604BD">
        <w:rPr>
          <w:rFonts w:ascii="Garamond" w:hAnsi="Garamond" w:cs="Times New Roman"/>
          <w:i/>
          <w:iCs/>
          <w:color w:val="1A1A1A"/>
          <w:lang w:val="en-GB"/>
        </w:rPr>
        <w:t>41</w:t>
      </w:r>
      <w:r w:rsidRPr="000604BD">
        <w:rPr>
          <w:rFonts w:ascii="Garamond" w:hAnsi="Garamond" w:cs="Times New Roman"/>
          <w:color w:val="1A1A1A"/>
          <w:lang w:val="en-GB"/>
        </w:rPr>
        <w:t>(9): 1444-1459.</w:t>
      </w:r>
      <w:r w:rsidRPr="000604BD">
        <w:rPr>
          <w:rFonts w:ascii="Garamond" w:hAnsi="Garamond" w:cs="Times New Roman"/>
          <w:lang w:val="en-GB"/>
        </w:rPr>
        <w:t xml:space="preserve"> </w:t>
      </w:r>
    </w:p>
    <w:p w14:paraId="2B61D11B"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color w:val="1A1A1A"/>
          <w:lang w:val="en-GB"/>
        </w:rPr>
      </w:pPr>
      <w:r w:rsidRPr="000604BD">
        <w:rPr>
          <w:rFonts w:ascii="Garamond" w:hAnsi="Garamond" w:cs="Times New Roman"/>
          <w:color w:val="1A1A1A"/>
          <w:lang w:val="en-GB"/>
        </w:rPr>
        <w:t xml:space="preserve">Bhabra, H.S. &amp; Huang, J. (2013) An empirical investigation of mergers and acquisitions by Chinese listed companies, 1997–2007, </w:t>
      </w:r>
      <w:r w:rsidRPr="000604BD">
        <w:rPr>
          <w:rFonts w:ascii="Garamond" w:hAnsi="Garamond" w:cs="Times New Roman"/>
          <w:i/>
          <w:color w:val="1A1A1A"/>
          <w:lang w:val="en-GB"/>
        </w:rPr>
        <w:t>Journal of Multinational Financial Management</w:t>
      </w:r>
      <w:r w:rsidRPr="000604BD">
        <w:rPr>
          <w:rFonts w:ascii="Garamond" w:hAnsi="Garamond" w:cs="Times New Roman"/>
          <w:color w:val="1A1A1A"/>
          <w:lang w:val="en-GB"/>
        </w:rPr>
        <w:t>, 23(2013): 186-207.</w:t>
      </w:r>
    </w:p>
    <w:p w14:paraId="629FBA25"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Blomkvist, K. &amp; R. Drogendijk (2012). The Impact of Psychic Distance on Chinese Outward Foreign Direct Investments, </w:t>
      </w:r>
      <w:r w:rsidRPr="000604BD">
        <w:rPr>
          <w:rFonts w:ascii="Garamond" w:hAnsi="Garamond" w:cs="Times New Roman"/>
          <w:i/>
          <w:lang w:val="en-GB"/>
        </w:rPr>
        <w:t>Management International Review</w:t>
      </w:r>
      <w:r w:rsidRPr="000604BD">
        <w:rPr>
          <w:rFonts w:ascii="Garamond" w:hAnsi="Garamond" w:cs="Times New Roman"/>
          <w:lang w:val="en-GB"/>
        </w:rPr>
        <w:t xml:space="preserve">, DOI 10.1007/s11575-012-0147-y. </w:t>
      </w:r>
    </w:p>
    <w:p w14:paraId="24B50645"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Buckley, P. J., Clegg, L. J., Cross, A. R., Liu, X., Voss, H., &amp; Zheng, P. (2007) The determinants of Chinese outward foreign direct investment, </w:t>
      </w:r>
      <w:r w:rsidRPr="000604BD">
        <w:rPr>
          <w:rFonts w:ascii="Garamond" w:hAnsi="Garamond" w:cs="Times New Roman"/>
          <w:i/>
          <w:iCs/>
          <w:lang w:val="en-GB"/>
        </w:rPr>
        <w:t>Journal of International Business Studies</w:t>
      </w:r>
      <w:r w:rsidRPr="000604BD">
        <w:rPr>
          <w:rFonts w:ascii="Garamond" w:hAnsi="Garamond" w:cs="Times New Roman"/>
          <w:lang w:val="en-GB"/>
        </w:rPr>
        <w:t>, 38(4): 499-518.</w:t>
      </w:r>
    </w:p>
    <w:p w14:paraId="4FBE3CF6"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Buckley, P.J., Cross, A.R., Tan, H., Xin, L. &amp; Voss, H. (2008) Historic and emergent trends in Chinese outward direct investment, </w:t>
      </w:r>
      <w:r w:rsidRPr="000604BD">
        <w:rPr>
          <w:rFonts w:ascii="Garamond" w:hAnsi="Garamond" w:cs="Times New Roman"/>
          <w:i/>
          <w:lang w:val="en-GB"/>
        </w:rPr>
        <w:t>Management International Review</w:t>
      </w:r>
      <w:r w:rsidRPr="000604BD">
        <w:rPr>
          <w:rFonts w:ascii="Garamond" w:hAnsi="Garamond" w:cs="Times New Roman"/>
          <w:lang w:val="en-GB"/>
        </w:rPr>
        <w:t>, Vol. 48, No. 6, pp.715–748.</w:t>
      </w:r>
    </w:p>
    <w:p w14:paraId="50359689"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Chou, K.H., Chen, C.H. &amp; Mai, C.C. (2011) The impact of third-country effects and economic integration on China's outward FDI, </w:t>
      </w:r>
      <w:r w:rsidRPr="000604BD">
        <w:rPr>
          <w:rFonts w:ascii="Garamond" w:hAnsi="Garamond" w:cs="Times New Roman"/>
          <w:i/>
          <w:lang w:val="en-GB"/>
        </w:rPr>
        <w:t>Economic Modelling</w:t>
      </w:r>
      <w:r w:rsidRPr="000604BD">
        <w:rPr>
          <w:rFonts w:ascii="Garamond" w:hAnsi="Garamond" w:cs="Times New Roman"/>
          <w:lang w:val="en-GB"/>
        </w:rPr>
        <w:t>, 28(2011): 2154-63.</w:t>
      </w:r>
    </w:p>
    <w:p w14:paraId="32DCF890"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lang w:val="en-GB"/>
        </w:rPr>
        <w:t xml:space="preserve">Colpan, A. M. &amp; Hikino, T. (2013), Internationalization of East Asian Firms, </w:t>
      </w:r>
      <w:r w:rsidRPr="000604BD">
        <w:rPr>
          <w:rFonts w:ascii="Garamond" w:hAnsi="Garamond"/>
          <w:i/>
          <w:lang w:val="en-GB"/>
        </w:rPr>
        <w:t>Asian Business &amp; Management</w:t>
      </w:r>
      <w:r w:rsidRPr="000604BD">
        <w:rPr>
          <w:rFonts w:ascii="Garamond" w:hAnsi="Garamond"/>
          <w:lang w:val="en-GB"/>
        </w:rPr>
        <w:t>, Vol. 12, Issue 1, pp. 1-13.</w:t>
      </w:r>
    </w:p>
    <w:p w14:paraId="62386A47" w14:textId="77777777" w:rsidR="004A7CF3" w:rsidRPr="000604BD" w:rsidRDefault="004A7CF3" w:rsidP="00692ABD">
      <w:pPr>
        <w:spacing w:after="0" w:line="360" w:lineRule="auto"/>
        <w:ind w:left="709" w:hanging="709"/>
        <w:jc w:val="both"/>
        <w:outlineLvl w:val="1"/>
        <w:rPr>
          <w:rFonts w:ascii="Garamond" w:eastAsia="Times New Roman" w:hAnsi="Garamond" w:cs="Times New Roman"/>
          <w:bCs/>
          <w:lang w:val="en-GB" w:eastAsia="it-IT"/>
        </w:rPr>
      </w:pPr>
      <w:r w:rsidRPr="000604BD">
        <w:rPr>
          <w:rFonts w:ascii="Garamond" w:eastAsia="Times New Roman" w:hAnsi="Garamond" w:cs="Times New Roman"/>
          <w:bCs/>
          <w:lang w:val="en-GB" w:eastAsia="it-IT"/>
        </w:rPr>
        <w:lastRenderedPageBreak/>
        <w:t xml:space="preserve">Colpan, A. M., Hikino, T. &amp; Lincoln, J. R. </w:t>
      </w:r>
      <w:r>
        <w:rPr>
          <w:rFonts w:ascii="Garamond" w:eastAsia="Times New Roman" w:hAnsi="Garamond" w:cs="Times New Roman"/>
          <w:bCs/>
          <w:lang w:val="en-GB" w:eastAsia="it-IT"/>
        </w:rPr>
        <w:t xml:space="preserve">(eds) </w:t>
      </w:r>
      <w:r w:rsidRPr="000604BD">
        <w:rPr>
          <w:rFonts w:ascii="Garamond" w:eastAsia="Times New Roman" w:hAnsi="Garamond" w:cs="Times New Roman"/>
          <w:bCs/>
          <w:lang w:val="en-GB" w:eastAsia="it-IT"/>
        </w:rPr>
        <w:t xml:space="preserve">(2010), </w:t>
      </w:r>
      <w:r w:rsidRPr="000604BD">
        <w:rPr>
          <w:rFonts w:ascii="Garamond" w:eastAsia="Times New Roman" w:hAnsi="Garamond" w:cs="Times New Roman"/>
          <w:bCs/>
          <w:i/>
          <w:lang w:val="en-GB" w:eastAsia="it-IT"/>
        </w:rPr>
        <w:t>The Oxford Handbook of Business Groups</w:t>
      </w:r>
      <w:r w:rsidRPr="000604BD">
        <w:rPr>
          <w:rFonts w:ascii="Garamond" w:eastAsia="Times New Roman" w:hAnsi="Garamond" w:cs="Times New Roman"/>
          <w:bCs/>
          <w:lang w:val="en-GB" w:eastAsia="it-IT"/>
        </w:rPr>
        <w:t>, Oxford: Oxford University Press.</w:t>
      </w:r>
    </w:p>
    <w:p w14:paraId="295207F3"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Verdana"/>
          <w:lang w:val="en-GB"/>
        </w:rPr>
      </w:pPr>
      <w:r w:rsidRPr="000604BD">
        <w:rPr>
          <w:rFonts w:ascii="Garamond" w:hAnsi="Garamond" w:cs="Verdana"/>
          <w:lang w:val="en-GB"/>
        </w:rPr>
        <w:t>Crescenzi, R.,  Pietrobelli, C. &amp; Rabellotti R., (2013), “</w:t>
      </w:r>
      <w:hyperlink r:id="rId14" w:history="1">
        <w:r w:rsidRPr="000604BD">
          <w:rPr>
            <w:rFonts w:ascii="Garamond" w:hAnsi="Garamond" w:cs="Verdana"/>
            <w:lang w:val="en-GB"/>
          </w:rPr>
          <w:t>Innovation Drivers, Value Chains and the Geography of Multinational Corporations in Europe</w:t>
        </w:r>
      </w:hyperlink>
      <w:r w:rsidRPr="000604BD">
        <w:rPr>
          <w:rFonts w:ascii="Garamond" w:hAnsi="Garamond" w:cs="Verdana"/>
          <w:lang w:val="en-GB"/>
        </w:rPr>
        <w:t xml:space="preserve">”, forthcoming in </w:t>
      </w:r>
      <w:r w:rsidRPr="000604BD">
        <w:rPr>
          <w:rFonts w:ascii="Garamond" w:hAnsi="Garamond" w:cs="Verdana"/>
          <w:i/>
          <w:lang w:val="en-GB"/>
        </w:rPr>
        <w:t>Journal of Economic Geography</w:t>
      </w:r>
      <w:r w:rsidRPr="000604BD">
        <w:rPr>
          <w:rFonts w:ascii="Garamond" w:hAnsi="Garamond" w:cs="Verdana"/>
          <w:lang w:val="en-GB"/>
        </w:rPr>
        <w:t>.</w:t>
      </w:r>
    </w:p>
    <w:p w14:paraId="4B07CD2B"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Cui, L. &amp; Jiang, F. (2009). FDI entry mode choice of Chinese firms. </w:t>
      </w:r>
      <w:r w:rsidRPr="000604BD">
        <w:rPr>
          <w:rFonts w:ascii="Garamond" w:hAnsi="Garamond" w:cs="Times New Roman"/>
          <w:i/>
          <w:lang w:val="en-GB"/>
        </w:rPr>
        <w:t>Journal of World Business</w:t>
      </w:r>
      <w:r w:rsidRPr="000604BD">
        <w:rPr>
          <w:rFonts w:ascii="Garamond" w:hAnsi="Garamond" w:cs="Times New Roman"/>
          <w:lang w:val="en-GB"/>
        </w:rPr>
        <w:t xml:space="preserve">, 44: 434–444. </w:t>
      </w:r>
    </w:p>
    <w:p w14:paraId="0556C6F0" w14:textId="77777777" w:rsidR="004A7CF3" w:rsidRPr="0075649E" w:rsidRDefault="004A7CF3" w:rsidP="0075649E">
      <w:pPr>
        <w:autoSpaceDE w:val="0"/>
        <w:autoSpaceDN w:val="0"/>
        <w:adjustRightInd w:val="0"/>
        <w:spacing w:after="0" w:line="360" w:lineRule="auto"/>
        <w:ind w:left="709" w:hanging="709"/>
        <w:rPr>
          <w:rFonts w:ascii="Garamond" w:hAnsi="Garamond" w:cs="Times New Roman"/>
          <w:lang w:val="en-US"/>
        </w:rPr>
      </w:pPr>
      <w:r w:rsidRPr="0075649E">
        <w:rPr>
          <w:rFonts w:ascii="Garamond" w:hAnsi="Garamond" w:cs="Times New Roman"/>
          <w:lang w:val="en-US"/>
        </w:rPr>
        <w:t xml:space="preserve">Datta, D. K., Rajagopalan, N., Rasheed, A. (1991), Diversification and </w:t>
      </w:r>
      <w:r>
        <w:rPr>
          <w:rFonts w:ascii="Garamond" w:hAnsi="Garamond" w:cs="Times New Roman"/>
          <w:lang w:val="en-US"/>
        </w:rPr>
        <w:t>P</w:t>
      </w:r>
      <w:r w:rsidRPr="0075649E">
        <w:rPr>
          <w:rFonts w:ascii="Garamond" w:hAnsi="Garamond" w:cs="Times New Roman"/>
          <w:lang w:val="en-US"/>
        </w:rPr>
        <w:t>e</w:t>
      </w:r>
      <w:r>
        <w:rPr>
          <w:rFonts w:ascii="Garamond" w:hAnsi="Garamond" w:cs="Times New Roman"/>
          <w:lang w:val="en-US"/>
        </w:rPr>
        <w:t>rformance: Critical R</w:t>
      </w:r>
      <w:r w:rsidRPr="0075649E">
        <w:rPr>
          <w:rFonts w:ascii="Garamond" w:hAnsi="Garamond" w:cs="Times New Roman"/>
          <w:lang w:val="en-US"/>
        </w:rPr>
        <w:t xml:space="preserve">eview and </w:t>
      </w:r>
      <w:r>
        <w:rPr>
          <w:rFonts w:ascii="Garamond" w:hAnsi="Garamond" w:cs="Times New Roman"/>
          <w:lang w:val="en-US"/>
        </w:rPr>
        <w:t>F</w:t>
      </w:r>
      <w:r w:rsidRPr="0075649E">
        <w:rPr>
          <w:rFonts w:ascii="Garamond" w:hAnsi="Garamond" w:cs="Times New Roman"/>
          <w:lang w:val="en-US"/>
        </w:rPr>
        <w:t xml:space="preserve">uture </w:t>
      </w:r>
      <w:r>
        <w:rPr>
          <w:rFonts w:ascii="Garamond" w:hAnsi="Garamond" w:cs="Times New Roman"/>
          <w:lang w:val="en-US"/>
        </w:rPr>
        <w:t>D</w:t>
      </w:r>
      <w:r w:rsidRPr="0075649E">
        <w:rPr>
          <w:rFonts w:ascii="Garamond" w:hAnsi="Garamond" w:cs="Times New Roman"/>
          <w:lang w:val="en-US"/>
        </w:rPr>
        <w:t>irections</w:t>
      </w:r>
      <w:r>
        <w:rPr>
          <w:rFonts w:ascii="Garamond" w:hAnsi="Garamond" w:cs="Times New Roman"/>
          <w:lang w:val="en-US"/>
        </w:rPr>
        <w:t xml:space="preserve">, </w:t>
      </w:r>
      <w:r w:rsidRPr="0075649E">
        <w:rPr>
          <w:rFonts w:ascii="Garamond" w:hAnsi="Garamond" w:cs="Times New Roman"/>
          <w:i/>
          <w:lang w:val="en-US"/>
        </w:rPr>
        <w:t>Journal of Management Studies</w:t>
      </w:r>
      <w:r>
        <w:rPr>
          <w:rFonts w:ascii="Garamond" w:hAnsi="Garamond" w:cs="Times New Roman"/>
          <w:lang w:val="en-US"/>
        </w:rPr>
        <w:t xml:space="preserve">, 28, </w:t>
      </w:r>
      <w:r w:rsidRPr="0075649E">
        <w:rPr>
          <w:rFonts w:ascii="Garamond" w:hAnsi="Garamond" w:cs="Times New Roman"/>
          <w:lang w:val="en-US"/>
        </w:rPr>
        <w:t xml:space="preserve"> </w:t>
      </w:r>
      <w:r>
        <w:rPr>
          <w:rFonts w:ascii="Garamond" w:hAnsi="Garamond" w:cs="Times New Roman"/>
          <w:lang w:val="en-US"/>
        </w:rPr>
        <w:t>529-58.</w:t>
      </w:r>
    </w:p>
    <w:p w14:paraId="6D1A9045"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Davies, K. (2013) China Investment Policy: an Update, OECD Working Papers on International Investment, N. 2013/1</w:t>
      </w:r>
    </w:p>
    <w:p w14:paraId="2F1D91EA" w14:textId="77777777" w:rsidR="004A7CF3" w:rsidRPr="000604BD" w:rsidRDefault="004A7CF3" w:rsidP="00692ABD">
      <w:pPr>
        <w:widowControl w:val="0"/>
        <w:autoSpaceDE w:val="0"/>
        <w:autoSpaceDN w:val="0"/>
        <w:adjustRightInd w:val="0"/>
        <w:spacing w:after="0" w:line="360" w:lineRule="auto"/>
        <w:ind w:left="709" w:right="-7" w:hanging="709"/>
        <w:jc w:val="both"/>
        <w:rPr>
          <w:rFonts w:ascii="Garamond" w:hAnsi="Garamond" w:cs="Times New Roman"/>
          <w:color w:val="1A1A1A"/>
          <w:lang w:val="en-GB"/>
        </w:rPr>
      </w:pPr>
      <w:r w:rsidRPr="003772E0">
        <w:rPr>
          <w:rFonts w:ascii="Garamond" w:hAnsi="Garamond" w:cs="Times New Roman"/>
          <w:color w:val="1A1A1A"/>
          <w:lang w:val="da-DK"/>
        </w:rPr>
        <w:t xml:space="preserve">De Beule, F., &amp; Van Den Bulcke, D. (2012). </w:t>
      </w:r>
      <w:r w:rsidRPr="000604BD">
        <w:rPr>
          <w:rFonts w:ascii="Garamond" w:hAnsi="Garamond" w:cs="Times New Roman"/>
          <w:color w:val="1A1A1A"/>
          <w:lang w:val="en-GB"/>
        </w:rPr>
        <w:t xml:space="preserve">Locational determinants of outward foreign direct investment: an analysis of Chinese and Indian greenfield investments. </w:t>
      </w:r>
      <w:r w:rsidRPr="000604BD">
        <w:rPr>
          <w:rFonts w:ascii="Garamond" w:hAnsi="Garamond" w:cs="Times New Roman"/>
          <w:i/>
          <w:iCs/>
          <w:color w:val="1A1A1A"/>
          <w:lang w:val="en-GB"/>
        </w:rPr>
        <w:t>Transnational Corporations</w:t>
      </w:r>
      <w:r w:rsidRPr="000604BD">
        <w:rPr>
          <w:rFonts w:ascii="Garamond" w:hAnsi="Garamond" w:cs="Times New Roman"/>
          <w:color w:val="1A1A1A"/>
          <w:lang w:val="en-GB"/>
        </w:rPr>
        <w:t xml:space="preserve">, </w:t>
      </w:r>
      <w:r w:rsidRPr="000604BD">
        <w:rPr>
          <w:rFonts w:ascii="Garamond" w:hAnsi="Garamond" w:cs="Times New Roman"/>
          <w:i/>
          <w:iCs/>
          <w:color w:val="1A1A1A"/>
          <w:lang w:val="en-GB"/>
        </w:rPr>
        <w:t>21</w:t>
      </w:r>
      <w:r w:rsidRPr="000604BD">
        <w:rPr>
          <w:rFonts w:ascii="Garamond" w:hAnsi="Garamond" w:cs="Times New Roman"/>
          <w:color w:val="1A1A1A"/>
          <w:lang w:val="en-GB"/>
        </w:rPr>
        <w:t>(1), 1-34.</w:t>
      </w:r>
    </w:p>
    <w:p w14:paraId="1C7398C0" w14:textId="77777777" w:rsidR="004A7CF3" w:rsidRPr="000604BD" w:rsidRDefault="004A7CF3" w:rsidP="0075649E">
      <w:pPr>
        <w:spacing w:after="0" w:line="360" w:lineRule="auto"/>
        <w:ind w:left="709" w:hanging="709"/>
        <w:jc w:val="both"/>
        <w:outlineLvl w:val="1"/>
        <w:rPr>
          <w:rFonts w:ascii="Garamond" w:eastAsia="Times New Roman" w:hAnsi="Garamond" w:cs="Times New Roman"/>
          <w:bCs/>
          <w:lang w:val="en-GB" w:eastAsia="it-IT"/>
        </w:rPr>
      </w:pPr>
      <w:r>
        <w:rPr>
          <w:rFonts w:ascii="Garamond" w:hAnsi="Garamond" w:cs="Times New Roman"/>
          <w:lang w:val="en-GB"/>
        </w:rPr>
        <w:t xml:space="preserve">Delios and Ma (2010), Diversification strategy and business groups, in </w:t>
      </w:r>
      <w:r w:rsidRPr="000604BD">
        <w:rPr>
          <w:rFonts w:ascii="Garamond" w:eastAsia="Times New Roman" w:hAnsi="Garamond" w:cs="Times New Roman"/>
          <w:bCs/>
          <w:lang w:val="en-GB" w:eastAsia="it-IT"/>
        </w:rPr>
        <w:t xml:space="preserve">Colpan, A. M., Hikino, T. &amp; Lincoln, J. R. </w:t>
      </w:r>
      <w:r>
        <w:rPr>
          <w:rFonts w:ascii="Garamond" w:eastAsia="Times New Roman" w:hAnsi="Garamond" w:cs="Times New Roman"/>
          <w:bCs/>
          <w:lang w:val="en-GB" w:eastAsia="it-IT"/>
        </w:rPr>
        <w:t xml:space="preserve">(eds) </w:t>
      </w:r>
      <w:r w:rsidRPr="000604BD">
        <w:rPr>
          <w:rFonts w:ascii="Garamond" w:eastAsia="Times New Roman" w:hAnsi="Garamond" w:cs="Times New Roman"/>
          <w:bCs/>
          <w:lang w:val="en-GB" w:eastAsia="it-IT"/>
        </w:rPr>
        <w:t xml:space="preserve">(2010), </w:t>
      </w:r>
      <w:r w:rsidRPr="000604BD">
        <w:rPr>
          <w:rFonts w:ascii="Garamond" w:eastAsia="Times New Roman" w:hAnsi="Garamond" w:cs="Times New Roman"/>
          <w:bCs/>
          <w:i/>
          <w:lang w:val="en-GB" w:eastAsia="it-IT"/>
        </w:rPr>
        <w:t>The Oxford Handbook of Business Groups</w:t>
      </w:r>
      <w:r w:rsidRPr="000604BD">
        <w:rPr>
          <w:rFonts w:ascii="Garamond" w:eastAsia="Times New Roman" w:hAnsi="Garamond" w:cs="Times New Roman"/>
          <w:bCs/>
          <w:lang w:val="en-GB" w:eastAsia="it-IT"/>
        </w:rPr>
        <w:t>, Oxford: Oxford University Press.</w:t>
      </w:r>
    </w:p>
    <w:p w14:paraId="19B7AFF4"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Deng, P. (2009). Why do Chinese firms tend to acquire strategic assets in international expansion? </w:t>
      </w:r>
      <w:r w:rsidRPr="000604BD">
        <w:rPr>
          <w:rFonts w:ascii="Garamond" w:hAnsi="Garamond" w:cs="Times New Roman"/>
          <w:i/>
          <w:lang w:val="en-GB"/>
        </w:rPr>
        <w:t>Journal of World Business</w:t>
      </w:r>
      <w:r w:rsidRPr="000604BD">
        <w:rPr>
          <w:rFonts w:ascii="Garamond" w:hAnsi="Garamond" w:cs="Times New Roman"/>
          <w:lang w:val="en-GB"/>
        </w:rPr>
        <w:t>, 44(4): 74–84.</w:t>
      </w:r>
    </w:p>
    <w:p w14:paraId="36E5F1F1"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Duanmu, J.L. (2012) Firm heterogeneity and location choice of Chinese Multinational Enterprises, </w:t>
      </w:r>
      <w:r w:rsidRPr="000604BD">
        <w:rPr>
          <w:rFonts w:ascii="Garamond" w:hAnsi="Garamond" w:cs="Times New Roman"/>
          <w:i/>
          <w:iCs/>
          <w:lang w:val="en-GB"/>
        </w:rPr>
        <w:t>Journal of World Business</w:t>
      </w:r>
      <w:r w:rsidRPr="000604BD">
        <w:rPr>
          <w:rFonts w:ascii="Garamond" w:hAnsi="Garamond" w:cs="Times New Roman"/>
          <w:lang w:val="en-GB"/>
        </w:rPr>
        <w:t>, 47: 64-72</w:t>
      </w:r>
    </w:p>
    <w:p w14:paraId="2E7F7D46" w14:textId="77777777" w:rsidR="004A7CF3" w:rsidRPr="000604BD" w:rsidRDefault="004A7CF3" w:rsidP="00D150C5">
      <w:pPr>
        <w:widowControl w:val="0"/>
        <w:autoSpaceDE w:val="0"/>
        <w:autoSpaceDN w:val="0"/>
        <w:adjustRightInd w:val="0"/>
        <w:spacing w:after="0" w:line="360" w:lineRule="auto"/>
        <w:ind w:left="709" w:hanging="709"/>
        <w:jc w:val="both"/>
        <w:rPr>
          <w:rFonts w:ascii="Garamond" w:hAnsi="Garamond" w:cs="Times New Roman"/>
          <w:lang w:val="en-GB"/>
        </w:rPr>
      </w:pPr>
      <w:r w:rsidRPr="000604BD">
        <w:rPr>
          <w:rFonts w:ascii="Garamond" w:hAnsi="Garamond" w:cs="Times New Roman"/>
          <w:lang w:val="en-GB"/>
        </w:rPr>
        <w:t xml:space="preserve">Fan D., Zhu C. J. &amp; Nyland C. (2012) Factors affecting global integration of Chinese multinationals in Australia: A qualitative analysis, </w:t>
      </w:r>
      <w:r w:rsidRPr="000604BD">
        <w:rPr>
          <w:rFonts w:ascii="Garamond" w:hAnsi="Garamond" w:cs="Times New Roman"/>
          <w:i/>
          <w:lang w:val="en-GB"/>
        </w:rPr>
        <w:t>International Business Review</w:t>
      </w:r>
      <w:r w:rsidRPr="000604BD">
        <w:rPr>
          <w:rFonts w:ascii="Garamond" w:hAnsi="Garamond" w:cs="Times New Roman"/>
          <w:lang w:val="en-GB"/>
        </w:rPr>
        <w:t>, 21, 13-26.</w:t>
      </w:r>
    </w:p>
    <w:p w14:paraId="6BF5AE49" w14:textId="77777777" w:rsidR="004A7CF3" w:rsidRPr="000604BD" w:rsidRDefault="004A7CF3" w:rsidP="00D76CEA">
      <w:pPr>
        <w:spacing w:after="0" w:line="360" w:lineRule="auto"/>
        <w:ind w:left="709" w:right="-7" w:hanging="709"/>
        <w:jc w:val="both"/>
        <w:rPr>
          <w:rFonts w:ascii="Garamond" w:hAnsi="Garamond" w:cs="Times New Roman"/>
          <w:bCs/>
          <w:i/>
          <w:lang w:val="en-GB"/>
        </w:rPr>
      </w:pPr>
      <w:r w:rsidRPr="000604BD">
        <w:rPr>
          <w:rFonts w:ascii="Garamond" w:hAnsi="Garamond" w:cs="Times New Roman"/>
          <w:bCs/>
          <w:lang w:val="en-GB"/>
        </w:rPr>
        <w:t>Giuliani E., Gorgoni S., Guenther C. &amp; Rabellotti R. (2013) Emerging-market MNEs investing in Europe. A typology of subsidiary global–local connections,</w:t>
      </w:r>
      <w:r w:rsidRPr="000604BD">
        <w:rPr>
          <w:rFonts w:ascii="Garamond" w:hAnsi="Garamond" w:cs="Times New Roman"/>
          <w:b/>
          <w:bCs/>
          <w:lang w:val="en-GB"/>
        </w:rPr>
        <w:t xml:space="preserve"> </w:t>
      </w:r>
      <w:r w:rsidRPr="000604BD">
        <w:rPr>
          <w:rFonts w:ascii="Garamond" w:hAnsi="Garamond" w:cs="Times New Roman"/>
          <w:bCs/>
          <w:lang w:val="en-GB"/>
        </w:rPr>
        <w:t xml:space="preserve">forthcoming in </w:t>
      </w:r>
      <w:r w:rsidRPr="000604BD">
        <w:rPr>
          <w:rFonts w:ascii="Garamond" w:hAnsi="Garamond" w:cs="Times New Roman"/>
          <w:bCs/>
          <w:i/>
          <w:lang w:val="en-GB"/>
        </w:rPr>
        <w:t>International Business Review.</w:t>
      </w:r>
    </w:p>
    <w:p w14:paraId="4B2C07C7" w14:textId="77777777" w:rsidR="004A7CF3" w:rsidRDefault="004A7CF3" w:rsidP="00EB31E9">
      <w:pPr>
        <w:autoSpaceDE w:val="0"/>
        <w:autoSpaceDN w:val="0"/>
        <w:adjustRightInd w:val="0"/>
        <w:spacing w:after="0" w:line="360" w:lineRule="auto"/>
        <w:rPr>
          <w:rFonts w:ascii="Garamond" w:hAnsi="Garamond" w:cs="Times New Roman"/>
          <w:lang w:val="en-GB"/>
        </w:rPr>
      </w:pPr>
      <w:r>
        <w:rPr>
          <w:rFonts w:ascii="Garamond" w:hAnsi="Garamond" w:cs="Times New Roman"/>
          <w:lang w:val="en-GB"/>
        </w:rPr>
        <w:t xml:space="preserve">Gort, M. (1984), </w:t>
      </w:r>
      <w:r w:rsidRPr="00961CF8">
        <w:rPr>
          <w:rFonts w:ascii="Garamond" w:hAnsi="Garamond" w:cs="Times New Roman"/>
          <w:i/>
          <w:lang w:val="en-GB"/>
        </w:rPr>
        <w:t>Diversification and Integration in American Industry</w:t>
      </w:r>
      <w:r>
        <w:rPr>
          <w:rFonts w:ascii="Garamond" w:hAnsi="Garamond" w:cs="Times New Roman"/>
          <w:lang w:val="en-GB"/>
        </w:rPr>
        <w:t xml:space="preserve">, Westport, CT: Greenwood. </w:t>
      </w:r>
    </w:p>
    <w:p w14:paraId="73332E70" w14:textId="77777777" w:rsidR="004A7CF3" w:rsidRPr="00067A1F" w:rsidRDefault="004A7CF3" w:rsidP="00F13747">
      <w:pPr>
        <w:autoSpaceDE w:val="0"/>
        <w:autoSpaceDN w:val="0"/>
        <w:adjustRightInd w:val="0"/>
        <w:spacing w:after="0" w:line="360" w:lineRule="auto"/>
        <w:ind w:left="709" w:hanging="709"/>
        <w:jc w:val="both"/>
        <w:rPr>
          <w:rFonts w:ascii="Garamond" w:hAnsi="Garamond" w:cs="Times New Roman"/>
          <w:lang w:val="en-US"/>
        </w:rPr>
      </w:pPr>
      <w:r w:rsidRPr="00067A1F">
        <w:rPr>
          <w:rFonts w:ascii="Garamond" w:hAnsi="Garamond" w:cs="AdvPS8585"/>
          <w:lang w:val="en-US"/>
        </w:rPr>
        <w:t>Guest</w:t>
      </w:r>
      <w:r>
        <w:rPr>
          <w:rFonts w:ascii="Garamond" w:hAnsi="Garamond" w:cs="AdvPS8585"/>
          <w:lang w:val="en-US"/>
        </w:rPr>
        <w:t>, P.</w:t>
      </w:r>
      <w:r w:rsidRPr="00067A1F">
        <w:rPr>
          <w:rFonts w:ascii="Garamond" w:hAnsi="Garamond" w:cs="AdvPS8585"/>
          <w:lang w:val="en-US"/>
        </w:rPr>
        <w:t xml:space="preserve"> and Sutherland, </w:t>
      </w:r>
      <w:r>
        <w:rPr>
          <w:rFonts w:ascii="Garamond" w:hAnsi="Garamond" w:cs="AdvPS8585"/>
          <w:lang w:val="en-US"/>
        </w:rPr>
        <w:t>D. (</w:t>
      </w:r>
      <w:r w:rsidRPr="00067A1F">
        <w:rPr>
          <w:rFonts w:ascii="Garamond" w:hAnsi="Garamond" w:cs="AdvPS8585"/>
          <w:lang w:val="en-US"/>
        </w:rPr>
        <w:t>2010</w:t>
      </w:r>
      <w:r>
        <w:rPr>
          <w:rFonts w:ascii="Garamond" w:hAnsi="Garamond" w:cs="AdvPS8585"/>
          <w:lang w:val="en-US"/>
        </w:rPr>
        <w:t>)</w:t>
      </w:r>
      <w:r w:rsidRPr="00067A1F">
        <w:rPr>
          <w:rFonts w:ascii="Garamond" w:hAnsi="Garamond" w:cs="AdvPS8585"/>
          <w:lang w:val="en-US"/>
        </w:rPr>
        <w:t xml:space="preserve">, </w:t>
      </w:r>
      <w:r w:rsidRPr="00067A1F">
        <w:rPr>
          <w:rFonts w:ascii="Garamond" w:hAnsi="Garamond" w:cs="AdvPS858B"/>
          <w:lang w:val="en-US"/>
        </w:rPr>
        <w:t>The impact of business group affiliation on</w:t>
      </w:r>
      <w:r>
        <w:rPr>
          <w:rFonts w:ascii="Garamond" w:hAnsi="Garamond" w:cs="AdvPS858B"/>
          <w:lang w:val="en-US"/>
        </w:rPr>
        <w:t xml:space="preserve"> </w:t>
      </w:r>
      <w:r w:rsidRPr="00067A1F">
        <w:rPr>
          <w:rFonts w:ascii="Garamond" w:hAnsi="Garamond" w:cs="AdvPS858B"/>
          <w:lang w:val="en-US"/>
        </w:rPr>
        <w:t>performance: evidence from China’s</w:t>
      </w:r>
      <w:r>
        <w:rPr>
          <w:rFonts w:ascii="Garamond" w:hAnsi="Garamond" w:cs="AdvPS858B"/>
          <w:lang w:val="en-US"/>
        </w:rPr>
        <w:t xml:space="preserve"> </w:t>
      </w:r>
      <w:r w:rsidRPr="00067A1F">
        <w:rPr>
          <w:rFonts w:ascii="Garamond" w:hAnsi="Garamond" w:cs="AdvPS858B"/>
          <w:lang w:val="en-US"/>
        </w:rPr>
        <w:t>‘national champions,’</w:t>
      </w:r>
      <w:r>
        <w:rPr>
          <w:rFonts w:ascii="Garamond" w:hAnsi="Garamond" w:cs="AdvPS858B"/>
          <w:lang w:val="en-US"/>
        </w:rPr>
        <w:t xml:space="preserve"> </w:t>
      </w:r>
      <w:r w:rsidRPr="00F13747">
        <w:rPr>
          <w:rFonts w:ascii="Garamond" w:hAnsi="Garamond" w:cs="AdvPS8588"/>
          <w:i/>
          <w:lang w:val="en-US"/>
        </w:rPr>
        <w:t>Cambridge Journal of Economics</w:t>
      </w:r>
      <w:r>
        <w:rPr>
          <w:rFonts w:ascii="Garamond" w:hAnsi="Garamond" w:cs="AdvPS8588"/>
          <w:lang w:val="en-US"/>
        </w:rPr>
        <w:t>,</w:t>
      </w:r>
      <w:r w:rsidRPr="00067A1F">
        <w:rPr>
          <w:rFonts w:ascii="Garamond" w:hAnsi="Garamond" w:cs="AdvPS8588"/>
          <w:lang w:val="en-US"/>
        </w:rPr>
        <w:t xml:space="preserve"> </w:t>
      </w:r>
      <w:r w:rsidRPr="00067A1F">
        <w:rPr>
          <w:rFonts w:ascii="Garamond" w:hAnsi="Garamond" w:cs="AdvPS858B"/>
          <w:lang w:val="en-US"/>
        </w:rPr>
        <w:t xml:space="preserve">34, </w:t>
      </w:r>
      <w:r w:rsidRPr="00067A1F">
        <w:rPr>
          <w:rFonts w:ascii="Garamond" w:hAnsi="Garamond" w:cs="AdvPS8585"/>
          <w:lang w:val="en-US"/>
        </w:rPr>
        <w:t>617–631</w:t>
      </w:r>
      <w:r>
        <w:rPr>
          <w:rFonts w:ascii="Garamond" w:hAnsi="Garamond" w:cs="AdvPS8585"/>
          <w:lang w:val="en-US"/>
        </w:rPr>
        <w:t>.</w:t>
      </w:r>
    </w:p>
    <w:p w14:paraId="0D897407" w14:textId="77777777" w:rsidR="004A7CF3" w:rsidRPr="000604BD" w:rsidRDefault="004A7CF3" w:rsidP="00165E49">
      <w:pPr>
        <w:spacing w:after="0" w:line="360" w:lineRule="auto"/>
        <w:ind w:left="709" w:hanging="709"/>
        <w:jc w:val="both"/>
        <w:rPr>
          <w:rFonts w:ascii="Garamond" w:hAnsi="Garamond" w:cs="Times New Roman"/>
          <w:lang w:val="en-GB"/>
        </w:rPr>
      </w:pPr>
      <w:r w:rsidRPr="000604BD">
        <w:rPr>
          <w:rFonts w:ascii="Garamond" w:hAnsi="Garamond" w:cs="Times New Roman"/>
          <w:lang w:val="en-GB"/>
        </w:rPr>
        <w:t>Hahn, D. and Lee, K. (2006), Chinese Business groups: Their Origins and Development, in S. J. Chang (ed.), Business Groups in East Asia: Financial Crisis, Restructuring and New Growth, Oxford : Oxford University Press.</w:t>
      </w:r>
    </w:p>
    <w:p w14:paraId="6D34F566"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Hanemann, T. &amp; Rosen, D.H. (2012) </w:t>
      </w:r>
      <w:r w:rsidRPr="000604BD">
        <w:rPr>
          <w:rFonts w:ascii="Garamond" w:hAnsi="Garamond" w:cs="Times New Roman"/>
          <w:i/>
          <w:lang w:val="en-GB"/>
        </w:rPr>
        <w:t>China Invests in Europe Patterns, Impacts and Policy Implications</w:t>
      </w:r>
      <w:r w:rsidRPr="000604BD">
        <w:rPr>
          <w:rFonts w:ascii="Garamond" w:hAnsi="Garamond" w:cs="Times New Roman"/>
          <w:lang w:val="en-GB"/>
        </w:rPr>
        <w:t>, Rhodium Group</w:t>
      </w:r>
    </w:p>
    <w:p w14:paraId="23B7477D"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Henisz, W. (2000) Institutional Environments for Multi-National Investment, </w:t>
      </w:r>
      <w:r w:rsidRPr="000604BD">
        <w:rPr>
          <w:rFonts w:ascii="Garamond" w:hAnsi="Garamond" w:cs="Times New Roman"/>
          <w:i/>
          <w:lang w:val="en-GB"/>
        </w:rPr>
        <w:t>Journal of Law, Economics and Organizations</w:t>
      </w:r>
      <w:r w:rsidRPr="000604BD">
        <w:rPr>
          <w:rFonts w:ascii="Garamond" w:hAnsi="Garamond" w:cs="Times New Roman"/>
          <w:lang w:val="en-GB"/>
        </w:rPr>
        <w:t>, 16(2): 334-364.</w:t>
      </w:r>
    </w:p>
    <w:p w14:paraId="493E3C95" w14:textId="77777777" w:rsidR="004A7CF3" w:rsidRDefault="004A7CF3" w:rsidP="00961CF8">
      <w:pPr>
        <w:spacing w:after="0" w:line="360" w:lineRule="auto"/>
        <w:ind w:left="709" w:hanging="709"/>
        <w:rPr>
          <w:rFonts w:ascii="Garamond" w:hAnsi="Garamond" w:cs="Times New Roman"/>
          <w:lang w:val="en-GB"/>
        </w:rPr>
      </w:pPr>
      <w:r>
        <w:rPr>
          <w:rFonts w:ascii="Garamond" w:hAnsi="Garamond" w:cs="Times New Roman"/>
          <w:lang w:val="en-GB"/>
        </w:rPr>
        <w:t xml:space="preserve">Hitt, M. A., Hoskisson, R. E. and Kim, H. (1997), International Diversification: Effects on Innovation and Firm Performance In Product-Diversified Firms, </w:t>
      </w:r>
      <w:r w:rsidRPr="00961CF8">
        <w:rPr>
          <w:rFonts w:ascii="Garamond" w:hAnsi="Garamond" w:cs="Times New Roman"/>
          <w:i/>
          <w:lang w:val="en-GB"/>
        </w:rPr>
        <w:t>Academy of Management Journal</w:t>
      </w:r>
      <w:r>
        <w:rPr>
          <w:rFonts w:ascii="Garamond" w:hAnsi="Garamond" w:cs="Times New Roman"/>
          <w:lang w:val="en-GB"/>
        </w:rPr>
        <w:t>, 40, 767-98.</w:t>
      </w:r>
    </w:p>
    <w:p w14:paraId="73A7067A" w14:textId="77777777" w:rsidR="004A7CF3" w:rsidRDefault="004A7CF3" w:rsidP="00961CF8">
      <w:pPr>
        <w:autoSpaceDE w:val="0"/>
        <w:autoSpaceDN w:val="0"/>
        <w:adjustRightInd w:val="0"/>
        <w:spacing w:after="0" w:line="360" w:lineRule="auto"/>
        <w:ind w:left="709" w:hanging="709"/>
        <w:rPr>
          <w:rFonts w:ascii="Garamond" w:hAnsi="Garamond" w:cs="Times New Roman"/>
          <w:lang w:val="en-GB"/>
        </w:rPr>
      </w:pPr>
      <w:r>
        <w:rPr>
          <w:rFonts w:ascii="Garamond" w:hAnsi="Garamond" w:cs="Times New Roman"/>
          <w:lang w:val="en-GB"/>
        </w:rPr>
        <w:t xml:space="preserve">Hoskisson, R. E. and Hitt, M. A. (1990), Antecedents and Performance Outcomes of Diversification: A Review and Critique of Theoretical Perspectives, </w:t>
      </w:r>
      <w:r w:rsidRPr="00961CF8">
        <w:rPr>
          <w:rFonts w:ascii="Garamond" w:hAnsi="Garamond" w:cs="Times New Roman"/>
          <w:i/>
          <w:lang w:val="en-GB"/>
        </w:rPr>
        <w:t>Journal of Management</w:t>
      </w:r>
      <w:r>
        <w:rPr>
          <w:rFonts w:ascii="Garamond" w:hAnsi="Garamond" w:cs="Times New Roman"/>
          <w:lang w:val="en-GB"/>
        </w:rPr>
        <w:t>, 16/2, 461-509.</w:t>
      </w:r>
    </w:p>
    <w:p w14:paraId="69B07B2A" w14:textId="77777777" w:rsidR="004A7CF3" w:rsidRDefault="004A7CF3" w:rsidP="00E254F3">
      <w:pPr>
        <w:autoSpaceDE w:val="0"/>
        <w:autoSpaceDN w:val="0"/>
        <w:adjustRightInd w:val="0"/>
        <w:spacing w:after="0" w:line="360" w:lineRule="auto"/>
        <w:ind w:left="709" w:hanging="709"/>
        <w:rPr>
          <w:rFonts w:ascii="Garamond" w:hAnsi="Garamond" w:cs="Times New Roman"/>
          <w:lang w:val="en-GB"/>
        </w:rPr>
      </w:pPr>
      <w:r>
        <w:rPr>
          <w:rFonts w:ascii="Garamond" w:hAnsi="Garamond" w:cs="Times New Roman"/>
          <w:lang w:val="en-GB"/>
        </w:rPr>
        <w:t xml:space="preserve">Jensen, M. C. (1986), Agency Costs of Free Cash Flow, Corporate Finance, and Takeovers, </w:t>
      </w:r>
      <w:r w:rsidRPr="00E254F3">
        <w:rPr>
          <w:rFonts w:ascii="Garamond" w:hAnsi="Garamond" w:cs="Times New Roman"/>
          <w:i/>
          <w:lang w:val="en-GB"/>
        </w:rPr>
        <w:t>American Economic Review</w:t>
      </w:r>
      <w:r>
        <w:rPr>
          <w:rFonts w:ascii="Garamond" w:hAnsi="Garamond" w:cs="Times New Roman"/>
          <w:lang w:val="en-GB"/>
        </w:rPr>
        <w:t>, 76, 323-9.</w:t>
      </w:r>
    </w:p>
    <w:p w14:paraId="3271FC69" w14:textId="77777777" w:rsidR="004A7CF3" w:rsidRPr="00067A1F" w:rsidRDefault="004A7CF3" w:rsidP="00F13747">
      <w:pPr>
        <w:autoSpaceDE w:val="0"/>
        <w:autoSpaceDN w:val="0"/>
        <w:adjustRightInd w:val="0"/>
        <w:spacing w:after="0" w:line="360" w:lineRule="auto"/>
        <w:ind w:left="709" w:hanging="709"/>
        <w:jc w:val="both"/>
        <w:rPr>
          <w:rFonts w:ascii="Garamond" w:hAnsi="Garamond" w:cs="AdvPS8585"/>
          <w:lang w:val="en-US"/>
        </w:rPr>
      </w:pPr>
      <w:r w:rsidRPr="00067A1F">
        <w:rPr>
          <w:rFonts w:ascii="Garamond" w:hAnsi="Garamond" w:cs="AdvPS8585"/>
          <w:lang w:val="en-US"/>
        </w:rPr>
        <w:t xml:space="preserve">Keister, L. </w:t>
      </w:r>
      <w:r>
        <w:rPr>
          <w:rFonts w:ascii="Garamond" w:hAnsi="Garamond" w:cs="AdvPS8585"/>
          <w:lang w:val="en-US"/>
        </w:rPr>
        <w:t>(</w:t>
      </w:r>
      <w:r w:rsidRPr="00067A1F">
        <w:rPr>
          <w:rFonts w:ascii="Garamond" w:hAnsi="Garamond" w:cs="AdvPS8585"/>
          <w:lang w:val="en-US"/>
        </w:rPr>
        <w:t>1998</w:t>
      </w:r>
      <w:r>
        <w:rPr>
          <w:rFonts w:ascii="Garamond" w:hAnsi="Garamond" w:cs="AdvPS8585"/>
          <w:lang w:val="en-US"/>
        </w:rPr>
        <w:t>),</w:t>
      </w:r>
      <w:r w:rsidRPr="00067A1F">
        <w:rPr>
          <w:rFonts w:ascii="Garamond" w:hAnsi="Garamond" w:cs="AdvPS8585"/>
          <w:lang w:val="en-US"/>
        </w:rPr>
        <w:t xml:space="preserve"> Engineering growth: business group structure and firm performance in China’s</w:t>
      </w:r>
      <w:r>
        <w:rPr>
          <w:rFonts w:ascii="Garamond" w:hAnsi="Garamond" w:cs="AdvPS8585"/>
          <w:lang w:val="en-US"/>
        </w:rPr>
        <w:t xml:space="preserve"> </w:t>
      </w:r>
      <w:r w:rsidRPr="00067A1F">
        <w:rPr>
          <w:rFonts w:ascii="Garamond" w:hAnsi="Garamond" w:cs="AdvPS8585"/>
          <w:lang w:val="en-US"/>
        </w:rPr>
        <w:t xml:space="preserve">transition economy, </w:t>
      </w:r>
      <w:r w:rsidRPr="00F13747">
        <w:rPr>
          <w:rFonts w:ascii="Garamond" w:hAnsi="Garamond" w:cs="AdvPS8588"/>
          <w:i/>
          <w:lang w:val="en-US"/>
        </w:rPr>
        <w:t>American Journal of Sociology</w:t>
      </w:r>
      <w:r w:rsidRPr="00067A1F">
        <w:rPr>
          <w:rFonts w:ascii="Garamond" w:hAnsi="Garamond" w:cs="AdvPS8585"/>
          <w:lang w:val="en-US"/>
        </w:rPr>
        <w:t>, vol. 104, 404–40</w:t>
      </w:r>
      <w:r>
        <w:rPr>
          <w:rFonts w:ascii="Garamond" w:hAnsi="Garamond" w:cs="AdvPS8585"/>
          <w:lang w:val="en-US"/>
        </w:rPr>
        <w:t>.</w:t>
      </w:r>
    </w:p>
    <w:p w14:paraId="59ED0F2D" w14:textId="77777777" w:rsidR="004A7CF3" w:rsidRPr="00067A1F" w:rsidRDefault="004A7CF3" w:rsidP="00F13747">
      <w:pPr>
        <w:autoSpaceDE w:val="0"/>
        <w:autoSpaceDN w:val="0"/>
        <w:adjustRightInd w:val="0"/>
        <w:spacing w:after="0" w:line="360" w:lineRule="auto"/>
        <w:ind w:left="709" w:hanging="709"/>
        <w:jc w:val="both"/>
        <w:rPr>
          <w:rFonts w:ascii="Garamond" w:hAnsi="Garamond" w:cs="AdvPS8585"/>
          <w:lang w:val="en-US"/>
        </w:rPr>
      </w:pPr>
      <w:r>
        <w:rPr>
          <w:rFonts w:ascii="Garamond" w:hAnsi="Garamond" w:cs="AdvPS8585"/>
          <w:lang w:val="en-US"/>
        </w:rPr>
        <w:lastRenderedPageBreak/>
        <w:t>Keister, L. (2000),</w:t>
      </w:r>
      <w:r w:rsidRPr="00067A1F">
        <w:rPr>
          <w:rFonts w:ascii="Garamond" w:hAnsi="Garamond" w:cs="AdvPS8585"/>
          <w:lang w:val="en-US"/>
        </w:rPr>
        <w:t xml:space="preserve"> </w:t>
      </w:r>
      <w:r w:rsidRPr="00067A1F">
        <w:rPr>
          <w:rFonts w:ascii="Garamond" w:hAnsi="Garamond" w:cs="AdvPS8588"/>
          <w:lang w:val="en-US"/>
        </w:rPr>
        <w:t>The Structure and Impact of Interfirm Relations during Economic Development</w:t>
      </w:r>
      <w:r w:rsidRPr="00067A1F">
        <w:rPr>
          <w:rFonts w:ascii="Garamond" w:hAnsi="Garamond" w:cs="AdvPS8585"/>
          <w:lang w:val="en-US"/>
        </w:rPr>
        <w:t>,</w:t>
      </w:r>
      <w:r>
        <w:rPr>
          <w:rFonts w:ascii="Garamond" w:hAnsi="Garamond" w:cs="AdvPS8585"/>
          <w:lang w:val="en-US"/>
        </w:rPr>
        <w:t xml:space="preserve"> </w:t>
      </w:r>
      <w:r w:rsidRPr="00067A1F">
        <w:rPr>
          <w:rFonts w:ascii="Garamond" w:hAnsi="Garamond" w:cs="AdvPS8585"/>
          <w:lang w:val="en-US"/>
        </w:rPr>
        <w:t>Oxford, Oxford University Press</w:t>
      </w:r>
      <w:r>
        <w:rPr>
          <w:rFonts w:ascii="Garamond" w:hAnsi="Garamond" w:cs="AdvPS8585"/>
          <w:lang w:val="en-US"/>
        </w:rPr>
        <w:t>.</w:t>
      </w:r>
    </w:p>
    <w:p w14:paraId="766C12AD"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Kolstad, I., &amp; Wiig, A. (2012), What Determines Chinese Outward FDI?, </w:t>
      </w:r>
      <w:r w:rsidRPr="000604BD">
        <w:rPr>
          <w:rFonts w:ascii="Garamond" w:hAnsi="Garamond" w:cs="Times New Roman"/>
          <w:i/>
          <w:iCs/>
          <w:lang w:val="en-GB"/>
        </w:rPr>
        <w:t>Journal of World Business</w:t>
      </w:r>
      <w:r w:rsidRPr="000604BD">
        <w:rPr>
          <w:rFonts w:ascii="Garamond" w:hAnsi="Garamond" w:cs="Times New Roman"/>
          <w:lang w:val="en-GB"/>
        </w:rPr>
        <w:t>, 47(1): 26-34.</w:t>
      </w:r>
    </w:p>
    <w:p w14:paraId="2B15752E"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Lee, K. and Y.-S. Kang (2010), Business Groups in China, in Colpan et al (eds), Handbook of Business Groups, Oxford: Oxford University Press.</w:t>
      </w:r>
    </w:p>
    <w:p w14:paraId="713D22C6" w14:textId="77777777" w:rsidR="004A7CF3" w:rsidRPr="000604BD" w:rsidRDefault="004A7CF3" w:rsidP="004E3438">
      <w:pPr>
        <w:autoSpaceDE w:val="0"/>
        <w:autoSpaceDN w:val="0"/>
        <w:adjustRightInd w:val="0"/>
        <w:spacing w:after="0" w:line="360" w:lineRule="auto"/>
        <w:ind w:left="709" w:hanging="709"/>
        <w:rPr>
          <w:rFonts w:ascii="Garamond" w:hAnsi="Garamond" w:cs="NewCaledonia"/>
          <w:lang w:val="en-GB"/>
        </w:rPr>
      </w:pPr>
      <w:r>
        <w:rPr>
          <w:rFonts w:ascii="Garamond" w:hAnsi="Garamond" w:cs="Times New Roman"/>
          <w:lang w:val="en-GB"/>
        </w:rPr>
        <w:t xml:space="preserve">Leung, K. and White, S. (2004), Taking Stock and Charting a Path for Asian Management Research, in Leung, K. and White, S. (eds), </w:t>
      </w:r>
      <w:r w:rsidRPr="004E3438">
        <w:rPr>
          <w:rFonts w:ascii="Garamond" w:hAnsi="Garamond" w:cs="Times New Roman"/>
          <w:i/>
          <w:lang w:val="en-GB"/>
        </w:rPr>
        <w:t>Handbook of Asian Management</w:t>
      </w:r>
      <w:r>
        <w:rPr>
          <w:rFonts w:ascii="Garamond" w:hAnsi="Garamond" w:cs="Times New Roman"/>
          <w:lang w:val="en-GB"/>
        </w:rPr>
        <w:t>, London: Kluver Academic Publisher.</w:t>
      </w:r>
    </w:p>
    <w:p w14:paraId="516C078E" w14:textId="77777777" w:rsidR="004A7CF3" w:rsidRPr="000604BD" w:rsidRDefault="004A7CF3" w:rsidP="00D76CEA">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Liang, X., Lu, X. &amp; Wang, L. (2012) Outward internationalization of private enterprises in China: The effect of competitive advantages and disadvantages compared to home market rivals, </w:t>
      </w:r>
      <w:r w:rsidRPr="000604BD">
        <w:rPr>
          <w:rFonts w:ascii="Garamond" w:hAnsi="Garamond" w:cs="Times New Roman"/>
          <w:i/>
          <w:iCs/>
          <w:lang w:val="en-GB"/>
        </w:rPr>
        <w:t>Journal of World Business</w:t>
      </w:r>
      <w:r w:rsidRPr="000604BD">
        <w:rPr>
          <w:rFonts w:ascii="Garamond" w:hAnsi="Garamond" w:cs="Times New Roman"/>
          <w:lang w:val="en-GB"/>
        </w:rPr>
        <w:t>, 47: 134-144</w:t>
      </w:r>
      <w:r>
        <w:rPr>
          <w:rFonts w:ascii="Garamond" w:hAnsi="Garamond" w:cs="Times New Roman"/>
          <w:lang w:val="en-GB"/>
        </w:rPr>
        <w:t>.</w:t>
      </w:r>
    </w:p>
    <w:p w14:paraId="386AB5B8"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t>Liao, W. &amp; Tsui, K.K. (2012) China’s Outward Direct Investment: Evidence from a new micro database, HKIMR Working Paper No.17/2012</w:t>
      </w:r>
    </w:p>
    <w:p w14:paraId="70CA133B" w14:textId="77777777" w:rsidR="004A7CF3" w:rsidRPr="00067A1F" w:rsidRDefault="004A7CF3" w:rsidP="006C0FF1">
      <w:pPr>
        <w:spacing w:after="0" w:line="360" w:lineRule="auto"/>
        <w:ind w:left="709" w:hanging="709"/>
        <w:jc w:val="both"/>
        <w:rPr>
          <w:rFonts w:ascii="Garamond" w:hAnsi="Garamond"/>
          <w:lang w:val="en-GB"/>
        </w:rPr>
      </w:pPr>
      <w:r>
        <w:rPr>
          <w:rFonts w:ascii="Garamond" w:hAnsi="Garamond" w:cs="Times New Roman"/>
          <w:lang w:val="en-GB"/>
        </w:rPr>
        <w:t xml:space="preserve">Lu, J. W. and Beamish, P. W. (2004), International Diversification and Firm Performance: The S-Curve Hypothesis, </w:t>
      </w:r>
      <w:r w:rsidRPr="006C0FF1">
        <w:rPr>
          <w:rFonts w:ascii="Garamond" w:hAnsi="Garamond" w:cs="Times New Roman"/>
          <w:i/>
          <w:lang w:val="en-GB"/>
        </w:rPr>
        <w:t>Academy of Management Journal</w:t>
      </w:r>
      <w:r>
        <w:rPr>
          <w:rFonts w:ascii="Garamond" w:hAnsi="Garamond" w:cs="Times New Roman"/>
          <w:lang w:val="en-GB"/>
        </w:rPr>
        <w:t>, 47/4, 598-609.</w:t>
      </w:r>
    </w:p>
    <w:p w14:paraId="1350B1E7" w14:textId="77777777" w:rsidR="004A7CF3" w:rsidRPr="00165E49" w:rsidRDefault="004A7CF3" w:rsidP="00165E49">
      <w:pPr>
        <w:widowControl w:val="0"/>
        <w:autoSpaceDE w:val="0"/>
        <w:autoSpaceDN w:val="0"/>
        <w:adjustRightInd w:val="0"/>
        <w:spacing w:after="0" w:line="360" w:lineRule="auto"/>
        <w:ind w:left="709" w:right="-7" w:hanging="709"/>
        <w:jc w:val="both"/>
        <w:rPr>
          <w:rFonts w:ascii="Garamond" w:hAnsi="Garamond" w:cs="Times New Roman"/>
          <w:lang w:val="en-GB"/>
        </w:rPr>
      </w:pPr>
      <w:r w:rsidRPr="000604BD">
        <w:rPr>
          <w:rFonts w:ascii="Garamond" w:hAnsi="Garamond" w:cs="Times New Roman"/>
          <w:lang w:val="en-GB"/>
        </w:rPr>
        <w:t xml:space="preserve">Lu, J., Liu, X., Wang, H. (2011) Motives for Outward FDI of Chinese Private Firms: Firm Resources, Industry </w:t>
      </w:r>
      <w:r w:rsidRPr="00165E49">
        <w:rPr>
          <w:rFonts w:ascii="Garamond" w:hAnsi="Garamond" w:cs="Times New Roman"/>
          <w:lang w:val="en-GB"/>
        </w:rPr>
        <w:t xml:space="preserve">Dynamics, and Government Policies, </w:t>
      </w:r>
      <w:r w:rsidRPr="00165E49">
        <w:rPr>
          <w:rFonts w:ascii="Garamond" w:hAnsi="Garamond" w:cs="Times New Roman"/>
          <w:i/>
          <w:iCs/>
          <w:lang w:val="en-GB"/>
        </w:rPr>
        <w:t>Management and Organizational Review</w:t>
      </w:r>
      <w:r w:rsidRPr="00165E49">
        <w:rPr>
          <w:rFonts w:ascii="Garamond" w:hAnsi="Garamond" w:cs="Times New Roman"/>
          <w:lang w:val="en-GB"/>
        </w:rPr>
        <w:t>, 7(2): 223-248</w:t>
      </w:r>
      <w:r>
        <w:rPr>
          <w:rFonts w:ascii="Garamond" w:hAnsi="Garamond" w:cs="Times New Roman"/>
          <w:lang w:val="en-GB"/>
        </w:rPr>
        <w:t>.</w:t>
      </w:r>
    </w:p>
    <w:p w14:paraId="19C59AF3" w14:textId="77777777" w:rsidR="004A7CF3" w:rsidRPr="00165E49" w:rsidRDefault="004A7CF3" w:rsidP="00165E49">
      <w:pPr>
        <w:pStyle w:val="ListParagraph"/>
        <w:spacing w:after="0" w:line="360" w:lineRule="auto"/>
        <w:ind w:left="709" w:right="-7" w:hanging="709"/>
        <w:jc w:val="both"/>
        <w:rPr>
          <w:rFonts w:ascii="Garamond" w:hAnsi="Garamond" w:cs="Times New Roman"/>
          <w:lang w:val="en-GB"/>
        </w:rPr>
      </w:pPr>
      <w:r w:rsidRPr="00165E49">
        <w:rPr>
          <w:rFonts w:ascii="Garamond" w:hAnsi="Garamond" w:cs="Times New Roman"/>
          <w:lang w:val="en-GB"/>
        </w:rPr>
        <w:t xml:space="preserve">Luo, Y., Xue, Q. &amp; Han, B. (2010) How emerging market governments promote outward FDI: Experience from China, </w:t>
      </w:r>
      <w:r w:rsidRPr="00165E49">
        <w:rPr>
          <w:rFonts w:ascii="Garamond" w:hAnsi="Garamond" w:cs="Times New Roman"/>
          <w:i/>
          <w:lang w:val="en-GB"/>
        </w:rPr>
        <w:t>Journal of World Business</w:t>
      </w:r>
      <w:r w:rsidRPr="00165E49">
        <w:rPr>
          <w:rFonts w:ascii="Garamond" w:hAnsi="Garamond" w:cs="Times New Roman"/>
          <w:lang w:val="en-GB"/>
        </w:rPr>
        <w:t>, 45 (1): 68-79.</w:t>
      </w:r>
    </w:p>
    <w:p w14:paraId="4CD62050" w14:textId="77777777" w:rsidR="004A7CF3" w:rsidRPr="00165E49" w:rsidRDefault="004A7CF3" w:rsidP="00165E49">
      <w:pPr>
        <w:pStyle w:val="ListParagraph"/>
        <w:spacing w:after="0" w:line="360" w:lineRule="auto"/>
        <w:ind w:left="709" w:right="-7" w:hanging="709"/>
        <w:jc w:val="both"/>
        <w:rPr>
          <w:rFonts w:ascii="Garamond" w:hAnsi="Garamond" w:cs="Times New Roman"/>
          <w:lang w:val="en-GB"/>
        </w:rPr>
      </w:pPr>
      <w:r w:rsidRPr="00165E49">
        <w:rPr>
          <w:rFonts w:ascii="Garamond" w:hAnsi="Garamond" w:cs="Times New Roman"/>
          <w:lang w:val="en-GB"/>
        </w:rPr>
        <w:t xml:space="preserve">MOFCOM (2012) </w:t>
      </w:r>
      <w:r w:rsidRPr="00165E49">
        <w:rPr>
          <w:rFonts w:ascii="Garamond" w:hAnsi="Garamond" w:cs="Times New Roman"/>
          <w:i/>
          <w:lang w:val="en-GB"/>
        </w:rPr>
        <w:t>China Commerce Yearbook</w:t>
      </w:r>
      <w:r w:rsidRPr="00165E49">
        <w:rPr>
          <w:rFonts w:ascii="Garamond" w:hAnsi="Garamond" w:cs="Times New Roman"/>
          <w:lang w:val="en-GB"/>
        </w:rPr>
        <w:t>, MOFCOM: Beijing.</w:t>
      </w:r>
    </w:p>
    <w:p w14:paraId="4DA27434" w14:textId="77777777" w:rsidR="004A7CF3" w:rsidRPr="000604BD" w:rsidRDefault="004A7CF3" w:rsidP="00EB31E9">
      <w:pPr>
        <w:autoSpaceDE w:val="0"/>
        <w:autoSpaceDN w:val="0"/>
        <w:adjustRightInd w:val="0"/>
        <w:spacing w:after="0" w:line="360" w:lineRule="auto"/>
        <w:rPr>
          <w:rFonts w:ascii="Garamond" w:hAnsi="Garamond" w:cs="NewCaledonia"/>
          <w:lang w:val="en-GB"/>
        </w:rPr>
      </w:pPr>
      <w:r>
        <w:rPr>
          <w:rFonts w:ascii="Garamond" w:hAnsi="Garamond" w:cs="Times New Roman"/>
          <w:lang w:val="en-GB"/>
        </w:rPr>
        <w:t xml:space="preserve">Montgomery C. (1994), Corporate diversification, </w:t>
      </w:r>
      <w:r w:rsidRPr="006C0FF1">
        <w:rPr>
          <w:rFonts w:ascii="Garamond" w:hAnsi="Garamond" w:cs="Times New Roman"/>
          <w:i/>
          <w:lang w:val="en-GB"/>
        </w:rPr>
        <w:t>Journal of Economic Perspectives</w:t>
      </w:r>
      <w:r>
        <w:rPr>
          <w:rFonts w:ascii="Garamond" w:hAnsi="Garamond" w:cs="Times New Roman"/>
          <w:lang w:val="en-GB"/>
        </w:rPr>
        <w:t>, 8, 163-78.</w:t>
      </w:r>
    </w:p>
    <w:p w14:paraId="6C50D23E" w14:textId="77777777" w:rsidR="004A7CF3" w:rsidRPr="00165E49" w:rsidRDefault="004A7CF3" w:rsidP="00165E49">
      <w:pPr>
        <w:autoSpaceDE w:val="0"/>
        <w:autoSpaceDN w:val="0"/>
        <w:adjustRightInd w:val="0"/>
        <w:spacing w:after="0" w:line="360" w:lineRule="auto"/>
        <w:ind w:left="709" w:hanging="709"/>
        <w:jc w:val="both"/>
        <w:rPr>
          <w:rFonts w:ascii="Garamond" w:hAnsi="Garamond" w:cs="Times New Roman"/>
          <w:lang w:val="en-US"/>
        </w:rPr>
      </w:pPr>
      <w:r w:rsidRPr="00165E49">
        <w:rPr>
          <w:rFonts w:ascii="Garamond" w:hAnsi="Garamond" w:cs="AdvPS8585"/>
          <w:lang w:val="en-US"/>
        </w:rPr>
        <w:t xml:space="preserve">Morck, R.,Wolfenzon, D. and Yeung, B. 2005. Corporate governance, economic, entrenchment, and growth, </w:t>
      </w:r>
      <w:r w:rsidRPr="00165E49">
        <w:rPr>
          <w:rFonts w:ascii="Garamond" w:hAnsi="Garamond" w:cs="AdvPS8588"/>
          <w:i/>
          <w:lang w:val="en-US"/>
        </w:rPr>
        <w:t>Journal of Economic Literature</w:t>
      </w:r>
      <w:r w:rsidRPr="00165E49">
        <w:rPr>
          <w:rFonts w:ascii="Garamond" w:hAnsi="Garamond" w:cs="AdvPS8585"/>
          <w:lang w:val="en-US"/>
        </w:rPr>
        <w:t>, vol. XLIII, 655–720.</w:t>
      </w:r>
    </w:p>
    <w:p w14:paraId="739E8F2E" w14:textId="77777777" w:rsidR="004A7CF3" w:rsidRPr="00165E49" w:rsidRDefault="004A7CF3" w:rsidP="00165E49">
      <w:pPr>
        <w:pStyle w:val="ListParagraph"/>
        <w:spacing w:line="360" w:lineRule="auto"/>
        <w:ind w:left="709" w:right="-7" w:hanging="709"/>
        <w:jc w:val="both"/>
        <w:rPr>
          <w:rFonts w:ascii="Garamond" w:hAnsi="Garamond" w:cs="Times New Roman"/>
          <w:lang w:val="en-GB"/>
        </w:rPr>
      </w:pPr>
      <w:r w:rsidRPr="00165E49">
        <w:rPr>
          <w:rFonts w:ascii="Garamond" w:hAnsi="Garamond" w:cs="Times New Roman"/>
          <w:lang w:val="en-GB"/>
        </w:rPr>
        <w:t xml:space="preserve">OECD (2008) </w:t>
      </w:r>
      <w:r w:rsidRPr="00165E49">
        <w:rPr>
          <w:rFonts w:ascii="Garamond" w:hAnsi="Garamond" w:cs="Times New Roman"/>
          <w:i/>
          <w:lang w:val="en-GB"/>
        </w:rPr>
        <w:t>OECD Investment Policy Reviews—China 2008: Encouraging Responsible Business Conduct</w:t>
      </w:r>
      <w:r w:rsidRPr="00165E49">
        <w:rPr>
          <w:rFonts w:ascii="Garamond" w:hAnsi="Garamond" w:cs="Times New Roman"/>
          <w:lang w:val="en-GB"/>
        </w:rPr>
        <w:t>, OECD: Paris.</w:t>
      </w:r>
    </w:p>
    <w:p w14:paraId="24E7BEE4" w14:textId="77777777" w:rsidR="004A7CF3" w:rsidRDefault="004A7CF3" w:rsidP="006C0FF1">
      <w:pPr>
        <w:autoSpaceDE w:val="0"/>
        <w:autoSpaceDN w:val="0"/>
        <w:adjustRightInd w:val="0"/>
        <w:spacing w:after="0" w:line="360" w:lineRule="auto"/>
        <w:ind w:left="709" w:hanging="709"/>
        <w:rPr>
          <w:rFonts w:ascii="Garamond" w:hAnsi="Garamond" w:cs="Times New Roman"/>
          <w:lang w:val="en-GB"/>
        </w:rPr>
      </w:pPr>
      <w:r>
        <w:rPr>
          <w:rFonts w:ascii="Garamond" w:hAnsi="Garamond" w:cs="Times New Roman"/>
          <w:lang w:val="en-GB"/>
        </w:rPr>
        <w:t xml:space="preserve">Palich, L. E., Cardinal, L. B. and Miller, C. (2000), Curvilinearity in the Diversification-Performance Linkage: An Examination of Over Three Decades of Research, </w:t>
      </w:r>
      <w:r w:rsidRPr="006C0FF1">
        <w:rPr>
          <w:rFonts w:ascii="Garamond" w:hAnsi="Garamond" w:cs="Times New Roman"/>
          <w:i/>
          <w:lang w:val="en-GB"/>
        </w:rPr>
        <w:t>Strategic Management Journal</w:t>
      </w:r>
      <w:r>
        <w:rPr>
          <w:rFonts w:ascii="Garamond" w:hAnsi="Garamond" w:cs="Times New Roman"/>
          <w:lang w:val="en-GB"/>
        </w:rPr>
        <w:t>, 21, 155-74.</w:t>
      </w:r>
    </w:p>
    <w:p w14:paraId="6992E8F2" w14:textId="77777777" w:rsidR="004A7CF3" w:rsidRPr="000604BD" w:rsidRDefault="004A7CF3" w:rsidP="00D76CEA">
      <w:pPr>
        <w:pStyle w:val="ListParagraph"/>
        <w:spacing w:line="360" w:lineRule="auto"/>
        <w:ind w:left="709" w:right="-7" w:hanging="709"/>
        <w:jc w:val="both"/>
        <w:rPr>
          <w:rFonts w:ascii="Garamond" w:hAnsi="Garamond" w:cs="Times New Roman"/>
          <w:lang w:val="en-GB"/>
        </w:rPr>
      </w:pPr>
      <w:r w:rsidRPr="000604BD">
        <w:rPr>
          <w:rFonts w:ascii="Garamond" w:hAnsi="Garamond" w:cs="Times New Roman"/>
          <w:lang w:val="en-GB"/>
        </w:rPr>
        <w:t xml:space="preserve">Ramasamy, B., Yeung, M. &amp; Laforet, S. (2012) China’s outward foreign direct investment: Location choice and firm ownership, </w:t>
      </w:r>
      <w:r w:rsidRPr="000604BD">
        <w:rPr>
          <w:rFonts w:ascii="Garamond" w:hAnsi="Garamond" w:cs="Times New Roman"/>
          <w:i/>
          <w:lang w:val="en-GB"/>
        </w:rPr>
        <w:t>Journal of World Business</w:t>
      </w:r>
      <w:r w:rsidRPr="000604BD">
        <w:rPr>
          <w:rFonts w:ascii="Garamond" w:hAnsi="Garamond" w:cs="Times New Roman"/>
          <w:lang w:val="en-GB"/>
        </w:rPr>
        <w:t>, 47: 17-25</w:t>
      </w:r>
    </w:p>
    <w:p w14:paraId="43FF8DFD" w14:textId="77777777" w:rsidR="004A7CF3" w:rsidRPr="000604BD" w:rsidRDefault="004A7CF3" w:rsidP="006C0FF1">
      <w:pPr>
        <w:autoSpaceDE w:val="0"/>
        <w:autoSpaceDN w:val="0"/>
        <w:adjustRightInd w:val="0"/>
        <w:spacing w:after="0" w:line="360" w:lineRule="auto"/>
        <w:ind w:left="709" w:hanging="709"/>
        <w:rPr>
          <w:rFonts w:ascii="Garamond" w:hAnsi="Garamond" w:cs="NewCaledonia"/>
          <w:lang w:val="en-GB"/>
        </w:rPr>
      </w:pPr>
      <w:r>
        <w:rPr>
          <w:rFonts w:ascii="Garamond" w:hAnsi="Garamond" w:cs="Times New Roman"/>
          <w:lang w:val="en-GB"/>
        </w:rPr>
        <w:t xml:space="preserve">Ramaswamy, K., Li, M. and Veliyath, R. (2002), Variations in Ownership Behaviour and Propensity to Diversify: A Study of the Indian Corporate Context, </w:t>
      </w:r>
      <w:r w:rsidRPr="006C0FF1">
        <w:rPr>
          <w:rFonts w:ascii="Garamond" w:hAnsi="Garamond" w:cs="Times New Roman"/>
          <w:i/>
          <w:lang w:val="en-GB"/>
        </w:rPr>
        <w:t>Strategic Management Journal</w:t>
      </w:r>
      <w:r>
        <w:rPr>
          <w:rFonts w:ascii="Garamond" w:hAnsi="Garamond" w:cs="Times New Roman"/>
          <w:lang w:val="en-GB"/>
        </w:rPr>
        <w:t>, 23, 345-58.</w:t>
      </w:r>
    </w:p>
    <w:p w14:paraId="3DF70956"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t>Rosen, D.H. &amp; Hanemann, T. (2009) China’s Changing Outbound Foreign Direct Investment Profile: Drivers and Policy Implications, Peterson Institute for International Economics Policy Brief N. 09-14.</w:t>
      </w:r>
    </w:p>
    <w:p w14:paraId="492E0DB2" w14:textId="77777777" w:rsidR="004A7CF3" w:rsidRDefault="004A7CF3" w:rsidP="006C0FF1">
      <w:pPr>
        <w:autoSpaceDE w:val="0"/>
        <w:autoSpaceDN w:val="0"/>
        <w:adjustRightInd w:val="0"/>
        <w:spacing w:after="0" w:line="360" w:lineRule="auto"/>
        <w:ind w:left="709" w:hanging="709"/>
        <w:rPr>
          <w:rFonts w:ascii="Garamond" w:hAnsi="Garamond" w:cs="Times New Roman"/>
          <w:lang w:val="en-GB"/>
        </w:rPr>
      </w:pPr>
      <w:r>
        <w:rPr>
          <w:rFonts w:ascii="Garamond" w:hAnsi="Garamond" w:cs="Times New Roman"/>
          <w:lang w:val="en-GB"/>
        </w:rPr>
        <w:t xml:space="preserve">Rumelt, R. P., Schendel, D. and Teece, D. J. (1994), </w:t>
      </w:r>
      <w:r w:rsidRPr="006C0FF1">
        <w:rPr>
          <w:rFonts w:ascii="Garamond" w:hAnsi="Garamond" w:cs="Times New Roman"/>
          <w:i/>
          <w:lang w:val="en-GB"/>
        </w:rPr>
        <w:t>Fundamental Issues in Strategy: A Research Agenda</w:t>
      </w:r>
      <w:r>
        <w:rPr>
          <w:rFonts w:ascii="Garamond" w:hAnsi="Garamond" w:cs="Times New Roman"/>
          <w:lang w:val="en-GB"/>
        </w:rPr>
        <w:t>, Boston: Harvard Business School Press.</w:t>
      </w:r>
    </w:p>
    <w:p w14:paraId="06D03D42"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t>Seo, B. K., Lee, K. and X. Wang (2006), Explaining Performance Changes in the Business Groups: Three Hypothesis in the case of China, Paper presented at the 2006 Convention of the East Asian Economic Association (EAEA), held in Beijing, November.</w:t>
      </w:r>
    </w:p>
    <w:p w14:paraId="7DCACD69"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lastRenderedPageBreak/>
        <w:t xml:space="preserve">Sutherland, D. &amp; Ning, L. (2011), Exploring ‘onward-journey’ ODI strategies in China’s private sector businesses, </w:t>
      </w:r>
      <w:r w:rsidRPr="000604BD">
        <w:rPr>
          <w:rFonts w:ascii="Garamond" w:hAnsi="Garamond" w:cs="Times New Roman"/>
          <w:i/>
          <w:lang w:val="en-GB"/>
        </w:rPr>
        <w:t>Journal of Chinese Economic and Business Studies</w:t>
      </w:r>
      <w:r w:rsidRPr="000604BD">
        <w:rPr>
          <w:rFonts w:ascii="Garamond" w:hAnsi="Garamond" w:cs="Times New Roman"/>
          <w:lang w:val="en-GB"/>
        </w:rPr>
        <w:t>, 9(1): 43-65.</w:t>
      </w:r>
    </w:p>
    <w:p w14:paraId="68373D70" w14:textId="77777777" w:rsidR="004A7CF3" w:rsidRDefault="004A7CF3" w:rsidP="00EB31E9">
      <w:pPr>
        <w:autoSpaceDE w:val="0"/>
        <w:autoSpaceDN w:val="0"/>
        <w:adjustRightInd w:val="0"/>
        <w:spacing w:after="0" w:line="360" w:lineRule="auto"/>
        <w:rPr>
          <w:rFonts w:ascii="Garamond" w:hAnsi="Garamond" w:cs="Times New Roman"/>
          <w:lang w:val="en-GB"/>
        </w:rPr>
      </w:pPr>
      <w:r>
        <w:rPr>
          <w:rFonts w:ascii="Garamond" w:hAnsi="Garamond" w:cs="Times New Roman"/>
          <w:lang w:val="en-GB"/>
        </w:rPr>
        <w:t xml:space="preserve">Williamson, O. E. (1975), </w:t>
      </w:r>
      <w:r w:rsidRPr="006C0FF1">
        <w:rPr>
          <w:rFonts w:ascii="Garamond" w:hAnsi="Garamond" w:cs="Times New Roman"/>
          <w:i/>
          <w:lang w:val="en-GB"/>
        </w:rPr>
        <w:t>Markets and Hierarchies: Analysis and Antitrust Implications</w:t>
      </w:r>
      <w:r>
        <w:rPr>
          <w:rFonts w:ascii="Garamond" w:hAnsi="Garamond" w:cs="Times New Roman"/>
          <w:lang w:val="en-GB"/>
        </w:rPr>
        <w:t xml:space="preserve">, New York: Free Press. </w:t>
      </w:r>
    </w:p>
    <w:p w14:paraId="2A3CDB1D" w14:textId="77777777" w:rsidR="004A7CF3" w:rsidRPr="00067A1F" w:rsidRDefault="004A7CF3" w:rsidP="00F13747">
      <w:pPr>
        <w:autoSpaceDE w:val="0"/>
        <w:autoSpaceDN w:val="0"/>
        <w:adjustRightInd w:val="0"/>
        <w:spacing w:after="0" w:line="360" w:lineRule="auto"/>
        <w:ind w:left="709" w:hanging="709"/>
        <w:jc w:val="both"/>
        <w:rPr>
          <w:rFonts w:ascii="Garamond" w:hAnsi="Garamond" w:cs="AdvPS8585"/>
          <w:lang w:val="en-US"/>
        </w:rPr>
      </w:pPr>
      <w:r w:rsidRPr="00067A1F">
        <w:rPr>
          <w:rFonts w:ascii="Garamond" w:hAnsi="Garamond" w:cs="AdvPS8585"/>
          <w:lang w:val="en-US"/>
        </w:rPr>
        <w:t xml:space="preserve">Yiu, D., Bruton, G. D. and Yuan, L. </w:t>
      </w:r>
      <w:r>
        <w:rPr>
          <w:rFonts w:ascii="Garamond" w:hAnsi="Garamond" w:cs="AdvPS8585"/>
          <w:lang w:val="en-US"/>
        </w:rPr>
        <w:t>(</w:t>
      </w:r>
      <w:r w:rsidRPr="00067A1F">
        <w:rPr>
          <w:rFonts w:ascii="Garamond" w:hAnsi="Garamond" w:cs="AdvPS8585"/>
          <w:lang w:val="en-US"/>
        </w:rPr>
        <w:t>2005</w:t>
      </w:r>
      <w:r>
        <w:rPr>
          <w:rFonts w:ascii="Garamond" w:hAnsi="Garamond" w:cs="AdvPS8585"/>
          <w:lang w:val="en-US"/>
        </w:rPr>
        <w:t>),</w:t>
      </w:r>
      <w:r w:rsidRPr="00067A1F">
        <w:rPr>
          <w:rFonts w:ascii="Garamond" w:hAnsi="Garamond" w:cs="AdvPS8585"/>
          <w:lang w:val="en-US"/>
        </w:rPr>
        <w:t xml:space="preserve"> Understanding business group performance in an</w:t>
      </w:r>
      <w:r>
        <w:rPr>
          <w:rFonts w:ascii="Garamond" w:hAnsi="Garamond" w:cs="AdvPS8585"/>
          <w:lang w:val="en-US"/>
        </w:rPr>
        <w:t xml:space="preserve"> </w:t>
      </w:r>
      <w:r w:rsidRPr="00067A1F">
        <w:rPr>
          <w:rFonts w:ascii="Garamond" w:hAnsi="Garamond" w:cs="AdvPS8585"/>
          <w:lang w:val="en-US"/>
        </w:rPr>
        <w:t xml:space="preserve">emerging economy: acquiring resources and capabilities in order to prosper, </w:t>
      </w:r>
      <w:r w:rsidRPr="00F13747">
        <w:rPr>
          <w:rFonts w:ascii="Garamond" w:hAnsi="Garamond" w:cs="AdvPS8588"/>
          <w:i/>
          <w:lang w:val="en-US"/>
        </w:rPr>
        <w:t>Journal of Management Studies</w:t>
      </w:r>
      <w:r w:rsidRPr="00067A1F">
        <w:rPr>
          <w:rFonts w:ascii="Garamond" w:hAnsi="Garamond" w:cs="AdvPS8585"/>
          <w:lang w:val="en-US"/>
        </w:rPr>
        <w:t>, vol. 42, no. 1, 183–206</w:t>
      </w:r>
      <w:r>
        <w:rPr>
          <w:rFonts w:ascii="Garamond" w:hAnsi="Garamond" w:cs="AdvPS8585"/>
          <w:lang w:val="en-US"/>
        </w:rPr>
        <w:t>.</w:t>
      </w:r>
    </w:p>
    <w:p w14:paraId="7BAEB0D0" w14:textId="77777777" w:rsidR="004A7CF3" w:rsidRPr="00067A1F" w:rsidRDefault="004A7CF3" w:rsidP="00F13747">
      <w:pPr>
        <w:pStyle w:val="ListParagraph"/>
        <w:spacing w:after="0" w:line="360" w:lineRule="auto"/>
        <w:ind w:left="709" w:right="-6" w:hanging="709"/>
        <w:jc w:val="both"/>
        <w:rPr>
          <w:rFonts w:ascii="Garamond" w:hAnsi="Garamond" w:cs="Times New Roman"/>
          <w:lang w:val="en-GB"/>
        </w:rPr>
      </w:pPr>
      <w:r w:rsidRPr="00067A1F">
        <w:rPr>
          <w:rFonts w:ascii="Garamond" w:hAnsi="Garamond" w:cs="Times New Roman"/>
          <w:lang w:val="en-GB"/>
        </w:rPr>
        <w:t>Zhang, J., Di Minin, A. and X. Quan (2011) A Comparison of International R&amp;D Strategies of Chinese Companies in Europe and the U.S., Technology Management Conference (ITMC), 2011.</w:t>
      </w:r>
    </w:p>
    <w:p w14:paraId="77C20E20" w14:textId="77777777" w:rsidR="004A7CF3" w:rsidRPr="000604BD" w:rsidRDefault="004A7CF3" w:rsidP="00D76CEA">
      <w:pPr>
        <w:pStyle w:val="ListParagraph"/>
        <w:spacing w:after="0" w:line="360" w:lineRule="auto"/>
        <w:ind w:left="709" w:right="-7" w:hanging="709"/>
        <w:jc w:val="both"/>
        <w:rPr>
          <w:rFonts w:ascii="Garamond" w:hAnsi="Garamond" w:cs="Times New Roman"/>
          <w:lang w:val="en-GB"/>
        </w:rPr>
      </w:pPr>
      <w:r w:rsidRPr="000604BD">
        <w:rPr>
          <w:rFonts w:ascii="Garamond" w:hAnsi="Garamond" w:cs="Times New Roman"/>
          <w:lang w:val="en-GB"/>
        </w:rPr>
        <w:t>Zhang, Y. &amp; Filippov, S. (2009), Internationalization of Chinese firms in Europe. UNU-Merit Working Paper Series N. 2009-041.</w:t>
      </w:r>
    </w:p>
    <w:sectPr w:rsidR="004A7CF3" w:rsidRPr="000604BD" w:rsidSect="003772E0">
      <w:footerReference w:type="defaul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2AAE" w14:textId="77777777" w:rsidR="00B65E8D" w:rsidRDefault="00B65E8D" w:rsidP="00855E87">
      <w:pPr>
        <w:spacing w:after="0" w:line="240" w:lineRule="auto"/>
      </w:pPr>
      <w:r>
        <w:separator/>
      </w:r>
    </w:p>
  </w:endnote>
  <w:endnote w:type="continuationSeparator" w:id="0">
    <w:p w14:paraId="4F7891D9" w14:textId="77777777" w:rsidR="00B65E8D" w:rsidRDefault="00B65E8D" w:rsidP="0085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Caledonia">
    <w:panose1 w:val="00000000000000000000"/>
    <w:charset w:val="00"/>
    <w:family w:val="roman"/>
    <w:notTrueType/>
    <w:pitch w:val="default"/>
    <w:sig w:usb0="00000003" w:usb1="00000000" w:usb2="00000000" w:usb3="00000000" w:csb0="00000001" w:csb1="00000000"/>
  </w:font>
  <w:font w:name="AdvPS8585">
    <w:panose1 w:val="00000000000000000000"/>
    <w:charset w:val="00"/>
    <w:family w:val="roman"/>
    <w:notTrueType/>
    <w:pitch w:val="default"/>
    <w:sig w:usb0="00000003" w:usb1="00000000" w:usb2="00000000" w:usb3="00000000" w:csb0="00000001" w:csb1="00000000"/>
  </w:font>
  <w:font w:name="AdvPS8588">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858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38215"/>
      <w:docPartObj>
        <w:docPartGallery w:val="Page Numbers (Bottom of Page)"/>
        <w:docPartUnique/>
      </w:docPartObj>
    </w:sdtPr>
    <w:sdtEndPr/>
    <w:sdtContent>
      <w:p w14:paraId="4F1697AE" w14:textId="77777777" w:rsidR="0068747F" w:rsidRDefault="0068747F">
        <w:pPr>
          <w:pStyle w:val="Footer"/>
          <w:jc w:val="right"/>
        </w:pPr>
        <w:r>
          <w:fldChar w:fldCharType="begin"/>
        </w:r>
        <w:r>
          <w:instrText>PAGE   \* MERGEFORMAT</w:instrText>
        </w:r>
        <w:r>
          <w:fldChar w:fldCharType="separate"/>
        </w:r>
        <w:r w:rsidR="003772E0">
          <w:rPr>
            <w:noProof/>
          </w:rPr>
          <w:t>3</w:t>
        </w:r>
        <w:r>
          <w:fldChar w:fldCharType="end"/>
        </w:r>
      </w:p>
    </w:sdtContent>
  </w:sdt>
  <w:p w14:paraId="30C5D3AA" w14:textId="77777777" w:rsidR="0068747F" w:rsidRDefault="00687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D7FE" w14:textId="77777777" w:rsidR="003772E0" w:rsidRPr="00E5556C" w:rsidRDefault="003772E0" w:rsidP="003772E0">
    <w:pPr>
      <w:pStyle w:val="PlainText"/>
      <w:rPr>
        <w:rFonts w:ascii="Times New Roman" w:hAnsi="Times New Roman" w:cs="Times New Roman"/>
        <w:szCs w:val="22"/>
      </w:rPr>
    </w:pPr>
    <w:r w:rsidRPr="00E5556C">
      <w:rPr>
        <w:rFonts w:ascii="Times New Roman" w:hAnsi="Times New Roman" w:cs="Times New Roman"/>
        <w:szCs w:val="22"/>
      </w:rPr>
      <w:t xml:space="preserve">Paper presented at The 4th Copenhagen Conference on ’Emerging Multinationals’: </w:t>
    </w:r>
  </w:p>
  <w:p w14:paraId="36050DA9" w14:textId="196E1453" w:rsidR="003772E0" w:rsidRPr="003772E0" w:rsidRDefault="003772E0" w:rsidP="003772E0">
    <w:pPr>
      <w:pStyle w:val="PlainText"/>
      <w:rPr>
        <w:rFonts w:ascii="Times New Roman" w:hAnsi="Times New Roman" w:cs="Times New Roman"/>
        <w:szCs w:val="22"/>
      </w:rPr>
    </w:pPr>
    <w:r w:rsidRPr="00E5556C">
      <w:rPr>
        <w:rFonts w:ascii="Times New Roman" w:hAnsi="Times New Roman" w:cs="Times New Roman"/>
        <w:szCs w:val="22"/>
      </w:rPr>
      <w:t>Outward Investment from Emerging Economies, Copenhagen, Denmark, 9-10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14B34" w14:textId="77777777" w:rsidR="00B65E8D" w:rsidRDefault="00B65E8D" w:rsidP="00855E87">
      <w:pPr>
        <w:spacing w:after="0" w:line="240" w:lineRule="auto"/>
      </w:pPr>
      <w:r>
        <w:separator/>
      </w:r>
    </w:p>
  </w:footnote>
  <w:footnote w:type="continuationSeparator" w:id="0">
    <w:p w14:paraId="2B0C6032" w14:textId="77777777" w:rsidR="00B65E8D" w:rsidRDefault="00B65E8D" w:rsidP="00855E87">
      <w:pPr>
        <w:spacing w:after="0" w:line="240" w:lineRule="auto"/>
      </w:pPr>
      <w:r>
        <w:continuationSeparator/>
      </w:r>
    </w:p>
  </w:footnote>
  <w:footnote w:id="1">
    <w:p w14:paraId="0CBCC3AB" w14:textId="49F0F9DB" w:rsidR="0068747F" w:rsidRPr="00445272" w:rsidRDefault="0068747F" w:rsidP="00445272">
      <w:pPr>
        <w:pStyle w:val="FootnoteText"/>
        <w:jc w:val="both"/>
        <w:rPr>
          <w:lang w:val="en-US"/>
        </w:rPr>
      </w:pPr>
      <w:r>
        <w:rPr>
          <w:rStyle w:val="FootnoteReference"/>
        </w:rPr>
        <w:footnoteRef/>
      </w:r>
      <w:r w:rsidRPr="00445272">
        <w:rPr>
          <w:lang w:val="en-US"/>
        </w:rPr>
        <w:t xml:space="preserve"> </w:t>
      </w:r>
      <w:r w:rsidRPr="00445272">
        <w:rPr>
          <w:rFonts w:ascii="Garamond" w:hAnsi="Garamond"/>
          <w:lang w:val="en-GB"/>
        </w:rPr>
        <w:t>Germany receives the largest number of Chinese greenfield investments in Europe, made by family-owned private companies, which often are not recorded by MOFCOM, and in many cases are small scale measured by their value (Giuliani et al., 2013; Hanemann and Rosen,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F40"/>
    <w:multiLevelType w:val="hybridMultilevel"/>
    <w:tmpl w:val="71763226"/>
    <w:lvl w:ilvl="0" w:tplc="60D06A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6131056"/>
    <w:multiLevelType w:val="hybridMultilevel"/>
    <w:tmpl w:val="5C1E6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825043"/>
    <w:multiLevelType w:val="hybridMultilevel"/>
    <w:tmpl w:val="26D07882"/>
    <w:lvl w:ilvl="0" w:tplc="6E260A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DA7A6E"/>
    <w:multiLevelType w:val="hybridMultilevel"/>
    <w:tmpl w:val="99364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4824EF"/>
    <w:multiLevelType w:val="hybridMultilevel"/>
    <w:tmpl w:val="9FD2DA1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6267567"/>
    <w:multiLevelType w:val="hybridMultilevel"/>
    <w:tmpl w:val="7A266BA4"/>
    <w:lvl w:ilvl="0" w:tplc="98FA35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4B28121E"/>
    <w:multiLevelType w:val="hybridMultilevel"/>
    <w:tmpl w:val="2A904E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3C6ACF"/>
    <w:multiLevelType w:val="hybridMultilevel"/>
    <w:tmpl w:val="6DDC01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0B32F2"/>
    <w:multiLevelType w:val="hybridMultilevel"/>
    <w:tmpl w:val="4F54B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E3F3312"/>
    <w:multiLevelType w:val="hybridMultilevel"/>
    <w:tmpl w:val="7A266BA4"/>
    <w:lvl w:ilvl="0" w:tplc="98FA35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E2E008A"/>
    <w:multiLevelType w:val="hybridMultilevel"/>
    <w:tmpl w:val="7A266BA4"/>
    <w:lvl w:ilvl="0" w:tplc="98FA35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7"/>
  </w:num>
  <w:num w:numId="5">
    <w:abstractNumId w:val="0"/>
  </w:num>
  <w:num w:numId="6">
    <w:abstractNumId w:val="10"/>
  </w:num>
  <w:num w:numId="7">
    <w:abstractNumId w:val="5"/>
  </w:num>
  <w:num w:numId="8">
    <w:abstractNumId w:val="3"/>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87"/>
    <w:rsid w:val="00002E4F"/>
    <w:rsid w:val="00003455"/>
    <w:rsid w:val="00003869"/>
    <w:rsid w:val="0002637B"/>
    <w:rsid w:val="000309D3"/>
    <w:rsid w:val="000604BD"/>
    <w:rsid w:val="00067A1F"/>
    <w:rsid w:val="00077C42"/>
    <w:rsid w:val="00085654"/>
    <w:rsid w:val="00092F0D"/>
    <w:rsid w:val="000968BE"/>
    <w:rsid w:val="000A0C53"/>
    <w:rsid w:val="000A1AB2"/>
    <w:rsid w:val="000A2F3A"/>
    <w:rsid w:val="000B1632"/>
    <w:rsid w:val="000B4F88"/>
    <w:rsid w:val="000C5555"/>
    <w:rsid w:val="000D1C33"/>
    <w:rsid w:val="000D7C39"/>
    <w:rsid w:val="000E518A"/>
    <w:rsid w:val="000E562F"/>
    <w:rsid w:val="000F53E0"/>
    <w:rsid w:val="000F5B3C"/>
    <w:rsid w:val="000F6615"/>
    <w:rsid w:val="00105B27"/>
    <w:rsid w:val="00107792"/>
    <w:rsid w:val="00113DB2"/>
    <w:rsid w:val="00117121"/>
    <w:rsid w:val="001544AE"/>
    <w:rsid w:val="001651F2"/>
    <w:rsid w:val="00165E49"/>
    <w:rsid w:val="00167137"/>
    <w:rsid w:val="00171611"/>
    <w:rsid w:val="00190708"/>
    <w:rsid w:val="0019469F"/>
    <w:rsid w:val="001A0203"/>
    <w:rsid w:val="001C249C"/>
    <w:rsid w:val="001E2890"/>
    <w:rsid w:val="001E6603"/>
    <w:rsid w:val="001F2013"/>
    <w:rsid w:val="001F62ED"/>
    <w:rsid w:val="00230B38"/>
    <w:rsid w:val="002315E6"/>
    <w:rsid w:val="00240AE1"/>
    <w:rsid w:val="002549E8"/>
    <w:rsid w:val="00265D5A"/>
    <w:rsid w:val="00266C7E"/>
    <w:rsid w:val="002811AB"/>
    <w:rsid w:val="00284FF5"/>
    <w:rsid w:val="0029521B"/>
    <w:rsid w:val="002A16E6"/>
    <w:rsid w:val="002A4E86"/>
    <w:rsid w:val="002A746C"/>
    <w:rsid w:val="002B5437"/>
    <w:rsid w:val="002C332B"/>
    <w:rsid w:val="002C4D66"/>
    <w:rsid w:val="002D0B29"/>
    <w:rsid w:val="002D3274"/>
    <w:rsid w:val="002D5159"/>
    <w:rsid w:val="002E4A92"/>
    <w:rsid w:val="002F317C"/>
    <w:rsid w:val="002F5575"/>
    <w:rsid w:val="002F78A2"/>
    <w:rsid w:val="0032098E"/>
    <w:rsid w:val="00320A10"/>
    <w:rsid w:val="00340777"/>
    <w:rsid w:val="00345FDD"/>
    <w:rsid w:val="003473A7"/>
    <w:rsid w:val="00351900"/>
    <w:rsid w:val="00354297"/>
    <w:rsid w:val="003634E9"/>
    <w:rsid w:val="00364873"/>
    <w:rsid w:val="00371ABE"/>
    <w:rsid w:val="00372E4A"/>
    <w:rsid w:val="003765D1"/>
    <w:rsid w:val="003772E0"/>
    <w:rsid w:val="003A1349"/>
    <w:rsid w:val="003C62AB"/>
    <w:rsid w:val="003D33F7"/>
    <w:rsid w:val="003D62AE"/>
    <w:rsid w:val="003D7A23"/>
    <w:rsid w:val="003E2D7D"/>
    <w:rsid w:val="003E6D10"/>
    <w:rsid w:val="003F0A09"/>
    <w:rsid w:val="003F71E2"/>
    <w:rsid w:val="00400AD2"/>
    <w:rsid w:val="00401E47"/>
    <w:rsid w:val="004139A1"/>
    <w:rsid w:val="00413B69"/>
    <w:rsid w:val="00423F77"/>
    <w:rsid w:val="0043627F"/>
    <w:rsid w:val="00442769"/>
    <w:rsid w:val="00443A7F"/>
    <w:rsid w:val="00445272"/>
    <w:rsid w:val="00476F0A"/>
    <w:rsid w:val="004864B5"/>
    <w:rsid w:val="004925D8"/>
    <w:rsid w:val="004A3F65"/>
    <w:rsid w:val="004A5240"/>
    <w:rsid w:val="004A7CF3"/>
    <w:rsid w:val="004B3BF1"/>
    <w:rsid w:val="004B531E"/>
    <w:rsid w:val="004B5E0E"/>
    <w:rsid w:val="004B5E41"/>
    <w:rsid w:val="004C3363"/>
    <w:rsid w:val="004C41F1"/>
    <w:rsid w:val="004E3438"/>
    <w:rsid w:val="004E4FCC"/>
    <w:rsid w:val="004E7AE6"/>
    <w:rsid w:val="004F5810"/>
    <w:rsid w:val="004F7116"/>
    <w:rsid w:val="0050605E"/>
    <w:rsid w:val="0050655A"/>
    <w:rsid w:val="005077DC"/>
    <w:rsid w:val="00513249"/>
    <w:rsid w:val="00517386"/>
    <w:rsid w:val="0053461C"/>
    <w:rsid w:val="00543591"/>
    <w:rsid w:val="005533E7"/>
    <w:rsid w:val="0056010C"/>
    <w:rsid w:val="00580356"/>
    <w:rsid w:val="00586C46"/>
    <w:rsid w:val="005A1720"/>
    <w:rsid w:val="005B6EF5"/>
    <w:rsid w:val="005C6C03"/>
    <w:rsid w:val="005E7803"/>
    <w:rsid w:val="005F3994"/>
    <w:rsid w:val="00601113"/>
    <w:rsid w:val="00611B3A"/>
    <w:rsid w:val="00622F91"/>
    <w:rsid w:val="00627722"/>
    <w:rsid w:val="00657C72"/>
    <w:rsid w:val="00657D99"/>
    <w:rsid w:val="006604A9"/>
    <w:rsid w:val="00662C54"/>
    <w:rsid w:val="006644FE"/>
    <w:rsid w:val="006727B9"/>
    <w:rsid w:val="006729C6"/>
    <w:rsid w:val="0067547C"/>
    <w:rsid w:val="00680C0E"/>
    <w:rsid w:val="006867BB"/>
    <w:rsid w:val="0068747F"/>
    <w:rsid w:val="0069245C"/>
    <w:rsid w:val="00692ABD"/>
    <w:rsid w:val="006B535C"/>
    <w:rsid w:val="006C0FF1"/>
    <w:rsid w:val="006D1D41"/>
    <w:rsid w:val="006E5D3D"/>
    <w:rsid w:val="006F03B9"/>
    <w:rsid w:val="006F7C5C"/>
    <w:rsid w:val="00705414"/>
    <w:rsid w:val="00707510"/>
    <w:rsid w:val="00717CB9"/>
    <w:rsid w:val="00727D25"/>
    <w:rsid w:val="00737789"/>
    <w:rsid w:val="007412FE"/>
    <w:rsid w:val="0075347B"/>
    <w:rsid w:val="0075385C"/>
    <w:rsid w:val="0075649E"/>
    <w:rsid w:val="00770129"/>
    <w:rsid w:val="00773C1F"/>
    <w:rsid w:val="00795E96"/>
    <w:rsid w:val="007A6411"/>
    <w:rsid w:val="007B210E"/>
    <w:rsid w:val="007B431C"/>
    <w:rsid w:val="007C3A58"/>
    <w:rsid w:val="007C5BF5"/>
    <w:rsid w:val="007C76F5"/>
    <w:rsid w:val="007D2861"/>
    <w:rsid w:val="007D55CD"/>
    <w:rsid w:val="007E272D"/>
    <w:rsid w:val="007F425E"/>
    <w:rsid w:val="007F495B"/>
    <w:rsid w:val="007F6A86"/>
    <w:rsid w:val="007F74A7"/>
    <w:rsid w:val="00800A57"/>
    <w:rsid w:val="0082365D"/>
    <w:rsid w:val="00832EA9"/>
    <w:rsid w:val="0083524A"/>
    <w:rsid w:val="008377D8"/>
    <w:rsid w:val="00843F03"/>
    <w:rsid w:val="0085374A"/>
    <w:rsid w:val="00853F01"/>
    <w:rsid w:val="00855E87"/>
    <w:rsid w:val="00867823"/>
    <w:rsid w:val="008A369A"/>
    <w:rsid w:val="008A5B87"/>
    <w:rsid w:val="008B074C"/>
    <w:rsid w:val="008B4AB8"/>
    <w:rsid w:val="008C6892"/>
    <w:rsid w:val="008E385A"/>
    <w:rsid w:val="008F4C20"/>
    <w:rsid w:val="00901DCF"/>
    <w:rsid w:val="009126EB"/>
    <w:rsid w:val="00920205"/>
    <w:rsid w:val="00922CF3"/>
    <w:rsid w:val="0093096C"/>
    <w:rsid w:val="00933B69"/>
    <w:rsid w:val="00935C44"/>
    <w:rsid w:val="009435AA"/>
    <w:rsid w:val="00946068"/>
    <w:rsid w:val="009571A8"/>
    <w:rsid w:val="00961CF8"/>
    <w:rsid w:val="0096392D"/>
    <w:rsid w:val="0097080D"/>
    <w:rsid w:val="00993146"/>
    <w:rsid w:val="009A0515"/>
    <w:rsid w:val="009B7E49"/>
    <w:rsid w:val="009C01EC"/>
    <w:rsid w:val="009C0613"/>
    <w:rsid w:val="009C3259"/>
    <w:rsid w:val="009E6583"/>
    <w:rsid w:val="00A01885"/>
    <w:rsid w:val="00A033F9"/>
    <w:rsid w:val="00A04C30"/>
    <w:rsid w:val="00A2118C"/>
    <w:rsid w:val="00A46319"/>
    <w:rsid w:val="00A475F1"/>
    <w:rsid w:val="00A509BE"/>
    <w:rsid w:val="00A5225D"/>
    <w:rsid w:val="00A559E2"/>
    <w:rsid w:val="00A56A0E"/>
    <w:rsid w:val="00A669FE"/>
    <w:rsid w:val="00A703A9"/>
    <w:rsid w:val="00A74FCA"/>
    <w:rsid w:val="00A750BF"/>
    <w:rsid w:val="00A75A81"/>
    <w:rsid w:val="00A77A26"/>
    <w:rsid w:val="00A87310"/>
    <w:rsid w:val="00A92D09"/>
    <w:rsid w:val="00A94BF7"/>
    <w:rsid w:val="00AA1209"/>
    <w:rsid w:val="00AA2543"/>
    <w:rsid w:val="00AA4DFC"/>
    <w:rsid w:val="00AA6FD4"/>
    <w:rsid w:val="00AA76A5"/>
    <w:rsid w:val="00AC5F19"/>
    <w:rsid w:val="00AD0693"/>
    <w:rsid w:val="00AD2272"/>
    <w:rsid w:val="00AD3347"/>
    <w:rsid w:val="00AF099C"/>
    <w:rsid w:val="00B0297D"/>
    <w:rsid w:val="00B07F31"/>
    <w:rsid w:val="00B20A42"/>
    <w:rsid w:val="00B456E0"/>
    <w:rsid w:val="00B53BC0"/>
    <w:rsid w:val="00B60184"/>
    <w:rsid w:val="00B62C9C"/>
    <w:rsid w:val="00B64458"/>
    <w:rsid w:val="00B65E8D"/>
    <w:rsid w:val="00B6651E"/>
    <w:rsid w:val="00B66D60"/>
    <w:rsid w:val="00B90C2E"/>
    <w:rsid w:val="00B949A0"/>
    <w:rsid w:val="00BA2AAA"/>
    <w:rsid w:val="00BB0C3C"/>
    <w:rsid w:val="00BB1AF1"/>
    <w:rsid w:val="00BB20EA"/>
    <w:rsid w:val="00BC1F72"/>
    <w:rsid w:val="00BD57CA"/>
    <w:rsid w:val="00BE5888"/>
    <w:rsid w:val="00C00B50"/>
    <w:rsid w:val="00C04C28"/>
    <w:rsid w:val="00C06DB7"/>
    <w:rsid w:val="00C1491F"/>
    <w:rsid w:val="00C1784A"/>
    <w:rsid w:val="00C31CB9"/>
    <w:rsid w:val="00C31E26"/>
    <w:rsid w:val="00C33E9E"/>
    <w:rsid w:val="00C464F7"/>
    <w:rsid w:val="00C467A9"/>
    <w:rsid w:val="00C50BED"/>
    <w:rsid w:val="00C62763"/>
    <w:rsid w:val="00C76889"/>
    <w:rsid w:val="00C7718C"/>
    <w:rsid w:val="00C77C11"/>
    <w:rsid w:val="00C85617"/>
    <w:rsid w:val="00C95AAB"/>
    <w:rsid w:val="00C971F7"/>
    <w:rsid w:val="00CA5D16"/>
    <w:rsid w:val="00CA6B40"/>
    <w:rsid w:val="00CB19C2"/>
    <w:rsid w:val="00CC06DD"/>
    <w:rsid w:val="00CD50E6"/>
    <w:rsid w:val="00CD55B6"/>
    <w:rsid w:val="00CE2E92"/>
    <w:rsid w:val="00D12A5F"/>
    <w:rsid w:val="00D13D5A"/>
    <w:rsid w:val="00D150C5"/>
    <w:rsid w:val="00D26845"/>
    <w:rsid w:val="00D300EB"/>
    <w:rsid w:val="00D560D9"/>
    <w:rsid w:val="00D61914"/>
    <w:rsid w:val="00D733C1"/>
    <w:rsid w:val="00D76CEA"/>
    <w:rsid w:val="00D82063"/>
    <w:rsid w:val="00D87FFA"/>
    <w:rsid w:val="00D91F30"/>
    <w:rsid w:val="00D929DE"/>
    <w:rsid w:val="00DC57B5"/>
    <w:rsid w:val="00DD6290"/>
    <w:rsid w:val="00DE5C05"/>
    <w:rsid w:val="00DF1E2E"/>
    <w:rsid w:val="00E069F4"/>
    <w:rsid w:val="00E0723D"/>
    <w:rsid w:val="00E17F8F"/>
    <w:rsid w:val="00E254F3"/>
    <w:rsid w:val="00E26CB5"/>
    <w:rsid w:val="00E31CE7"/>
    <w:rsid w:val="00E40EE0"/>
    <w:rsid w:val="00E44FC7"/>
    <w:rsid w:val="00E45C24"/>
    <w:rsid w:val="00E622CE"/>
    <w:rsid w:val="00E6501D"/>
    <w:rsid w:val="00E66044"/>
    <w:rsid w:val="00E85E4C"/>
    <w:rsid w:val="00E8739D"/>
    <w:rsid w:val="00E920A0"/>
    <w:rsid w:val="00E934B6"/>
    <w:rsid w:val="00E95535"/>
    <w:rsid w:val="00EB31E9"/>
    <w:rsid w:val="00EB57A1"/>
    <w:rsid w:val="00EC63E8"/>
    <w:rsid w:val="00EC6F9F"/>
    <w:rsid w:val="00ED1A53"/>
    <w:rsid w:val="00EE2406"/>
    <w:rsid w:val="00EE567A"/>
    <w:rsid w:val="00EF1156"/>
    <w:rsid w:val="00EF1DD5"/>
    <w:rsid w:val="00EF7495"/>
    <w:rsid w:val="00F0510D"/>
    <w:rsid w:val="00F07F62"/>
    <w:rsid w:val="00F13747"/>
    <w:rsid w:val="00F23596"/>
    <w:rsid w:val="00F24D59"/>
    <w:rsid w:val="00F254AB"/>
    <w:rsid w:val="00F2794E"/>
    <w:rsid w:val="00F30876"/>
    <w:rsid w:val="00F31389"/>
    <w:rsid w:val="00F44F5E"/>
    <w:rsid w:val="00F46691"/>
    <w:rsid w:val="00F46FCE"/>
    <w:rsid w:val="00F61331"/>
    <w:rsid w:val="00F72EED"/>
    <w:rsid w:val="00F7442D"/>
    <w:rsid w:val="00F74B3E"/>
    <w:rsid w:val="00FA161F"/>
    <w:rsid w:val="00FA1C1C"/>
    <w:rsid w:val="00FB746B"/>
    <w:rsid w:val="00FC25E7"/>
    <w:rsid w:val="00FC57C8"/>
    <w:rsid w:val="00FD14C4"/>
    <w:rsid w:val="00FD252B"/>
    <w:rsid w:val="00FD44DB"/>
    <w:rsid w:val="00FF0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0002"/>
  <w15:docId w15:val="{4C0E3129-6173-4478-84B1-93C4BD3A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87"/>
  </w:style>
  <w:style w:type="paragraph" w:styleId="Heading2">
    <w:name w:val="heading 2"/>
    <w:basedOn w:val="Normal"/>
    <w:link w:val="Heading2Char"/>
    <w:uiPriority w:val="9"/>
    <w:qFormat/>
    <w:rsid w:val="00692AB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55E87"/>
    <w:pPr>
      <w:spacing w:after="0" w:line="240" w:lineRule="auto"/>
    </w:pPr>
    <w:rPr>
      <w:rFonts w:ascii="Times New Roman" w:eastAsia="MS ??" w:hAnsi="Times New Roman" w:cs="Times New Roman"/>
      <w:sz w:val="20"/>
      <w:szCs w:val="20"/>
      <w:lang w:eastAsia="it-IT"/>
    </w:rPr>
  </w:style>
  <w:style w:type="character" w:customStyle="1" w:styleId="FootnoteTextChar">
    <w:name w:val="Footnote Text Char"/>
    <w:basedOn w:val="DefaultParagraphFont"/>
    <w:link w:val="FootnoteText"/>
    <w:uiPriority w:val="99"/>
    <w:rsid w:val="00855E87"/>
    <w:rPr>
      <w:rFonts w:ascii="Times New Roman" w:eastAsia="MS ??" w:hAnsi="Times New Roman" w:cs="Times New Roman"/>
      <w:sz w:val="20"/>
      <w:szCs w:val="20"/>
      <w:lang w:eastAsia="it-IT"/>
    </w:rPr>
  </w:style>
  <w:style w:type="character" w:styleId="FootnoteReference">
    <w:name w:val="footnote reference"/>
    <w:basedOn w:val="DefaultParagraphFont"/>
    <w:uiPriority w:val="99"/>
    <w:rsid w:val="00855E87"/>
    <w:rPr>
      <w:rFonts w:cs="Times New Roman"/>
      <w:vertAlign w:val="superscript"/>
    </w:rPr>
  </w:style>
  <w:style w:type="paragraph" w:styleId="ListParagraph">
    <w:name w:val="List Paragraph"/>
    <w:basedOn w:val="Normal"/>
    <w:uiPriority w:val="34"/>
    <w:qFormat/>
    <w:rsid w:val="00855E87"/>
    <w:pPr>
      <w:ind w:left="720"/>
      <w:contextualSpacing/>
    </w:pPr>
  </w:style>
  <w:style w:type="paragraph" w:styleId="CommentText">
    <w:name w:val="annotation text"/>
    <w:basedOn w:val="Normal"/>
    <w:link w:val="CommentTextChar"/>
    <w:uiPriority w:val="99"/>
    <w:unhideWhenUsed/>
    <w:rsid w:val="00855E87"/>
    <w:pPr>
      <w:spacing w:line="240" w:lineRule="auto"/>
    </w:pPr>
    <w:rPr>
      <w:sz w:val="24"/>
      <w:szCs w:val="24"/>
    </w:rPr>
  </w:style>
  <w:style w:type="character" w:customStyle="1" w:styleId="CommentTextChar">
    <w:name w:val="Comment Text Char"/>
    <w:basedOn w:val="DefaultParagraphFont"/>
    <w:link w:val="CommentText"/>
    <w:uiPriority w:val="99"/>
    <w:rsid w:val="00855E87"/>
    <w:rPr>
      <w:sz w:val="24"/>
      <w:szCs w:val="24"/>
    </w:rPr>
  </w:style>
  <w:style w:type="table" w:styleId="TableGrid">
    <w:name w:val="Table Grid"/>
    <w:basedOn w:val="TableNormal"/>
    <w:uiPriority w:val="59"/>
    <w:rsid w:val="0085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C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2C54"/>
  </w:style>
  <w:style w:type="paragraph" w:styleId="Footer">
    <w:name w:val="footer"/>
    <w:basedOn w:val="Normal"/>
    <w:link w:val="FooterChar"/>
    <w:uiPriority w:val="99"/>
    <w:unhideWhenUsed/>
    <w:rsid w:val="00662C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2C54"/>
  </w:style>
  <w:style w:type="paragraph" w:styleId="BodyTextIndent">
    <w:name w:val="Body Text Indent"/>
    <w:basedOn w:val="Normal"/>
    <w:link w:val="BodyTextIndentChar"/>
    <w:rsid w:val="00D76CEA"/>
    <w:pPr>
      <w:spacing w:after="0" w:line="240" w:lineRule="auto"/>
      <w:ind w:left="567"/>
      <w:jc w:val="both"/>
    </w:pPr>
    <w:rPr>
      <w:rFonts w:ascii="Arial" w:eastAsia="Times New Roman" w:hAnsi="Arial" w:cs="Times New Roman"/>
      <w:sz w:val="20"/>
      <w:szCs w:val="20"/>
      <w:lang w:val="en-US" w:eastAsia="it-IT"/>
    </w:rPr>
  </w:style>
  <w:style w:type="character" w:customStyle="1" w:styleId="BodyTextIndentChar">
    <w:name w:val="Body Text Indent Char"/>
    <w:basedOn w:val="DefaultParagraphFont"/>
    <w:link w:val="BodyTextIndent"/>
    <w:rsid w:val="00D76CEA"/>
    <w:rPr>
      <w:rFonts w:ascii="Arial" w:eastAsia="Times New Roman" w:hAnsi="Arial" w:cs="Times New Roman"/>
      <w:sz w:val="20"/>
      <w:szCs w:val="20"/>
      <w:lang w:val="en-US" w:eastAsia="it-IT"/>
    </w:rPr>
  </w:style>
  <w:style w:type="character" w:styleId="Hyperlink">
    <w:name w:val="Hyperlink"/>
    <w:basedOn w:val="DefaultParagraphFont"/>
    <w:uiPriority w:val="99"/>
    <w:unhideWhenUsed/>
    <w:rsid w:val="00D76CEA"/>
    <w:rPr>
      <w:color w:val="0000FF"/>
      <w:u w:val="single"/>
    </w:rPr>
  </w:style>
  <w:style w:type="character" w:customStyle="1" w:styleId="Heading2Char">
    <w:name w:val="Heading 2 Char"/>
    <w:basedOn w:val="DefaultParagraphFont"/>
    <w:link w:val="Heading2"/>
    <w:uiPriority w:val="9"/>
    <w:rsid w:val="00692ABD"/>
    <w:rPr>
      <w:rFonts w:ascii="Times New Roman" w:eastAsia="Times New Roman" w:hAnsi="Times New Roman" w:cs="Times New Roman"/>
      <w:b/>
      <w:bCs/>
      <w:sz w:val="36"/>
      <w:szCs w:val="36"/>
      <w:lang w:eastAsia="it-IT"/>
    </w:rPr>
  </w:style>
  <w:style w:type="character" w:styleId="CommentReference">
    <w:name w:val="annotation reference"/>
    <w:basedOn w:val="DefaultParagraphFont"/>
    <w:uiPriority w:val="99"/>
    <w:semiHidden/>
    <w:unhideWhenUsed/>
    <w:rsid w:val="00D87FFA"/>
    <w:rPr>
      <w:sz w:val="18"/>
      <w:szCs w:val="18"/>
    </w:rPr>
  </w:style>
  <w:style w:type="paragraph" w:styleId="BalloonText">
    <w:name w:val="Balloon Text"/>
    <w:basedOn w:val="Normal"/>
    <w:link w:val="BalloonTextChar"/>
    <w:uiPriority w:val="99"/>
    <w:semiHidden/>
    <w:unhideWhenUsed/>
    <w:rsid w:val="003C6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AB"/>
    <w:rPr>
      <w:rFonts w:ascii="Segoe UI" w:hAnsi="Segoe UI" w:cs="Segoe UI"/>
      <w:sz w:val="18"/>
      <w:szCs w:val="18"/>
    </w:rPr>
  </w:style>
  <w:style w:type="paragraph" w:styleId="NormalWeb">
    <w:name w:val="Normal (Web)"/>
    <w:basedOn w:val="Normal"/>
    <w:uiPriority w:val="99"/>
    <w:semiHidden/>
    <w:unhideWhenUsed/>
    <w:rsid w:val="00113D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6729C6"/>
    <w:rPr>
      <w:b/>
      <w:bCs/>
      <w:sz w:val="20"/>
      <w:szCs w:val="20"/>
    </w:rPr>
  </w:style>
  <w:style w:type="character" w:customStyle="1" w:styleId="CommentSubjectChar">
    <w:name w:val="Comment Subject Char"/>
    <w:basedOn w:val="CommentTextChar"/>
    <w:link w:val="CommentSubject"/>
    <w:uiPriority w:val="99"/>
    <w:semiHidden/>
    <w:rsid w:val="006729C6"/>
    <w:rPr>
      <w:b/>
      <w:bCs/>
      <w:sz w:val="20"/>
      <w:szCs w:val="20"/>
    </w:rPr>
  </w:style>
  <w:style w:type="paragraph" w:styleId="PlainText">
    <w:name w:val="Plain Text"/>
    <w:basedOn w:val="Normal"/>
    <w:link w:val="PlainTextChar"/>
    <w:uiPriority w:val="99"/>
    <w:unhideWhenUsed/>
    <w:rsid w:val="003772E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3772E0"/>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30">
      <w:bodyDiv w:val="1"/>
      <w:marLeft w:val="0"/>
      <w:marRight w:val="0"/>
      <w:marTop w:val="0"/>
      <w:marBottom w:val="0"/>
      <w:divBdr>
        <w:top w:val="none" w:sz="0" w:space="0" w:color="auto"/>
        <w:left w:val="none" w:sz="0" w:space="0" w:color="auto"/>
        <w:bottom w:val="none" w:sz="0" w:space="0" w:color="auto"/>
        <w:right w:val="none" w:sz="0" w:space="0" w:color="auto"/>
      </w:divBdr>
    </w:div>
    <w:div w:id="532115974">
      <w:bodyDiv w:val="1"/>
      <w:marLeft w:val="0"/>
      <w:marRight w:val="0"/>
      <w:marTop w:val="0"/>
      <w:marBottom w:val="0"/>
      <w:divBdr>
        <w:top w:val="none" w:sz="0" w:space="0" w:color="auto"/>
        <w:left w:val="none" w:sz="0" w:space="0" w:color="auto"/>
        <w:bottom w:val="none" w:sz="0" w:space="0" w:color="auto"/>
        <w:right w:val="none" w:sz="0" w:space="0" w:color="auto"/>
      </w:divBdr>
    </w:div>
    <w:div w:id="1138181973">
      <w:bodyDiv w:val="1"/>
      <w:marLeft w:val="0"/>
      <w:marRight w:val="0"/>
      <w:marTop w:val="0"/>
      <w:marBottom w:val="0"/>
      <w:divBdr>
        <w:top w:val="none" w:sz="0" w:space="0" w:color="auto"/>
        <w:left w:val="none" w:sz="0" w:space="0" w:color="auto"/>
        <w:bottom w:val="none" w:sz="0" w:space="0" w:color="auto"/>
        <w:right w:val="none" w:sz="0" w:space="0" w:color="auto"/>
      </w:divBdr>
    </w:div>
    <w:div w:id="1446080567">
      <w:bodyDiv w:val="1"/>
      <w:marLeft w:val="0"/>
      <w:marRight w:val="0"/>
      <w:marTop w:val="0"/>
      <w:marBottom w:val="0"/>
      <w:divBdr>
        <w:top w:val="none" w:sz="0" w:space="0" w:color="auto"/>
        <w:left w:val="none" w:sz="0" w:space="0" w:color="auto"/>
        <w:bottom w:val="none" w:sz="0" w:space="0" w:color="auto"/>
        <w:right w:val="none" w:sz="0" w:space="0" w:color="auto"/>
      </w:divBdr>
    </w:div>
    <w:div w:id="19096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ea.gov/scb/pdf/2012/11%20November/1112MNC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1043951X/27/sup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rn.com/abstract=217583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laudiocozza:Documents:0.ricerca:2013-2014:papers:ongoing:3.ACRS-CWE:China-to-worl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laudiocozza:Documents:0.ricerca:2013-2014:papers:ongoing:3.ACRS-CWE:China-to-worl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Alessia\Research\Progetti\Europe%20and%20global%20challenges\BGs\ACR-BGs-typ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Alessia\Research\Progetti\Europe%20and%20global%20challenges\BGs\ACR-BGs-typ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lineChart>
        <c:grouping val="standard"/>
        <c:varyColors val="0"/>
        <c:ser>
          <c:idx val="2"/>
          <c:order val="0"/>
          <c:tx>
            <c:strRef>
              <c:f>Fig2new!$F$1</c:f>
              <c:strCache>
                <c:ptCount val="1"/>
                <c:pt idx="0">
                  <c:v>Greenfield - China</c:v>
                </c:pt>
              </c:strCache>
            </c:strRef>
          </c:tx>
          <c:spPr>
            <a:ln>
              <a:solidFill>
                <a:schemeClr val="bg1">
                  <a:lumMod val="65000"/>
                </a:schemeClr>
              </a:solidFill>
            </a:ln>
          </c:spPr>
          <c:marker>
            <c:symbol val="none"/>
          </c:marker>
          <c:cat>
            <c:strRef>
              <c:f>Fig2new!$A$2:$A$10</c:f>
              <c:strCache>
                <c:ptCount val="9"/>
                <c:pt idx="0">
                  <c:v>2003</c:v>
                </c:pt>
                <c:pt idx="1">
                  <c:v>2004</c:v>
                </c:pt>
                <c:pt idx="2">
                  <c:v>2005</c:v>
                </c:pt>
                <c:pt idx="3">
                  <c:v>2006</c:v>
                </c:pt>
                <c:pt idx="4">
                  <c:v>2007</c:v>
                </c:pt>
                <c:pt idx="5">
                  <c:v>2008</c:v>
                </c:pt>
                <c:pt idx="6">
                  <c:v>2009</c:v>
                </c:pt>
                <c:pt idx="7">
                  <c:v>2010</c:v>
                </c:pt>
                <c:pt idx="8">
                  <c:v>2011</c:v>
                </c:pt>
              </c:strCache>
            </c:strRef>
          </c:cat>
          <c:val>
            <c:numRef>
              <c:f>Fig2new!$F$2:$F$10</c:f>
              <c:numCache>
                <c:formatCode>General</c:formatCode>
                <c:ptCount val="9"/>
                <c:pt idx="0">
                  <c:v>90</c:v>
                </c:pt>
                <c:pt idx="1">
                  <c:v>93</c:v>
                </c:pt>
                <c:pt idx="2">
                  <c:v>119</c:v>
                </c:pt>
                <c:pt idx="3">
                  <c:v>119</c:v>
                </c:pt>
                <c:pt idx="4">
                  <c:v>209</c:v>
                </c:pt>
                <c:pt idx="5">
                  <c:v>258</c:v>
                </c:pt>
                <c:pt idx="6">
                  <c:v>322</c:v>
                </c:pt>
                <c:pt idx="7">
                  <c:v>349</c:v>
                </c:pt>
                <c:pt idx="8">
                  <c:v>400</c:v>
                </c:pt>
              </c:numCache>
            </c:numRef>
          </c:val>
          <c:smooth val="0"/>
        </c:ser>
        <c:ser>
          <c:idx val="3"/>
          <c:order val="1"/>
          <c:tx>
            <c:strRef>
              <c:f>Fig2new!$H$1</c:f>
              <c:strCache>
                <c:ptCount val="1"/>
                <c:pt idx="0">
                  <c:v>Greenfield - India</c:v>
                </c:pt>
              </c:strCache>
            </c:strRef>
          </c:tx>
          <c:spPr>
            <a:ln>
              <a:solidFill>
                <a:schemeClr val="tx1">
                  <a:lumMod val="75000"/>
                  <a:lumOff val="25000"/>
                </a:schemeClr>
              </a:solidFill>
            </a:ln>
          </c:spPr>
          <c:marker>
            <c:symbol val="none"/>
          </c:marker>
          <c:cat>
            <c:strRef>
              <c:f>Fig2new!$A$2:$A$10</c:f>
              <c:strCache>
                <c:ptCount val="9"/>
                <c:pt idx="0">
                  <c:v>2003</c:v>
                </c:pt>
                <c:pt idx="1">
                  <c:v>2004</c:v>
                </c:pt>
                <c:pt idx="2">
                  <c:v>2005</c:v>
                </c:pt>
                <c:pt idx="3">
                  <c:v>2006</c:v>
                </c:pt>
                <c:pt idx="4">
                  <c:v>2007</c:v>
                </c:pt>
                <c:pt idx="5">
                  <c:v>2008</c:v>
                </c:pt>
                <c:pt idx="6">
                  <c:v>2009</c:v>
                </c:pt>
                <c:pt idx="7">
                  <c:v>2010</c:v>
                </c:pt>
                <c:pt idx="8">
                  <c:v>2011</c:v>
                </c:pt>
              </c:strCache>
            </c:strRef>
          </c:cat>
          <c:val>
            <c:numRef>
              <c:f>Fig2new!$H$2:$H$10</c:f>
              <c:numCache>
                <c:formatCode>General</c:formatCode>
                <c:ptCount val="9"/>
                <c:pt idx="0">
                  <c:v>175</c:v>
                </c:pt>
                <c:pt idx="1">
                  <c:v>200</c:v>
                </c:pt>
                <c:pt idx="2">
                  <c:v>193</c:v>
                </c:pt>
                <c:pt idx="3">
                  <c:v>303</c:v>
                </c:pt>
                <c:pt idx="4">
                  <c:v>218</c:v>
                </c:pt>
                <c:pt idx="5">
                  <c:v>375</c:v>
                </c:pt>
                <c:pt idx="6">
                  <c:v>281</c:v>
                </c:pt>
                <c:pt idx="7">
                  <c:v>385</c:v>
                </c:pt>
                <c:pt idx="8">
                  <c:v>429</c:v>
                </c:pt>
              </c:numCache>
            </c:numRef>
          </c:val>
          <c:smooth val="0"/>
        </c:ser>
        <c:ser>
          <c:idx val="0"/>
          <c:order val="2"/>
          <c:tx>
            <c:strRef>
              <c:f>Fig2new!$G$1</c:f>
              <c:strCache>
                <c:ptCount val="1"/>
                <c:pt idx="0">
                  <c:v>M&amp;A - China</c:v>
                </c:pt>
              </c:strCache>
            </c:strRef>
          </c:tx>
          <c:spPr>
            <a:ln>
              <a:solidFill>
                <a:schemeClr val="bg1">
                  <a:lumMod val="65000"/>
                </a:schemeClr>
              </a:solidFill>
              <a:prstDash val="sysDash"/>
            </a:ln>
          </c:spPr>
          <c:marker>
            <c:symbol val="none"/>
          </c:marker>
          <c:val>
            <c:numRef>
              <c:f>Fig2new!$G$2:$G$10</c:f>
              <c:numCache>
                <c:formatCode>General</c:formatCode>
                <c:ptCount val="9"/>
                <c:pt idx="0">
                  <c:v>22</c:v>
                </c:pt>
                <c:pt idx="1">
                  <c:v>31</c:v>
                </c:pt>
                <c:pt idx="2">
                  <c:v>43</c:v>
                </c:pt>
                <c:pt idx="3">
                  <c:v>52</c:v>
                </c:pt>
                <c:pt idx="4">
                  <c:v>82</c:v>
                </c:pt>
                <c:pt idx="5">
                  <c:v>86</c:v>
                </c:pt>
                <c:pt idx="6">
                  <c:v>69</c:v>
                </c:pt>
                <c:pt idx="7">
                  <c:v>92</c:v>
                </c:pt>
                <c:pt idx="8">
                  <c:v>82</c:v>
                </c:pt>
              </c:numCache>
            </c:numRef>
          </c:val>
          <c:smooth val="0"/>
        </c:ser>
        <c:ser>
          <c:idx val="1"/>
          <c:order val="3"/>
          <c:tx>
            <c:strRef>
              <c:f>Fig2new!$I$1</c:f>
              <c:strCache>
                <c:ptCount val="1"/>
                <c:pt idx="0">
                  <c:v>M&amp;A - India</c:v>
                </c:pt>
              </c:strCache>
            </c:strRef>
          </c:tx>
          <c:spPr>
            <a:ln>
              <a:solidFill>
                <a:schemeClr val="tx1">
                  <a:lumMod val="75000"/>
                  <a:lumOff val="25000"/>
                </a:schemeClr>
              </a:solidFill>
              <a:prstDash val="sysDot"/>
            </a:ln>
          </c:spPr>
          <c:marker>
            <c:symbol val="none"/>
          </c:marker>
          <c:val>
            <c:numRef>
              <c:f>Fig2new!$I$2:$I$10</c:f>
              <c:numCache>
                <c:formatCode>General</c:formatCode>
                <c:ptCount val="9"/>
                <c:pt idx="0">
                  <c:v>46</c:v>
                </c:pt>
                <c:pt idx="1">
                  <c:v>58</c:v>
                </c:pt>
                <c:pt idx="2">
                  <c:v>81</c:v>
                </c:pt>
                <c:pt idx="3">
                  <c:v>127</c:v>
                </c:pt>
                <c:pt idx="4">
                  <c:v>172</c:v>
                </c:pt>
                <c:pt idx="5">
                  <c:v>145</c:v>
                </c:pt>
                <c:pt idx="6">
                  <c:v>69</c:v>
                </c:pt>
                <c:pt idx="7">
                  <c:v>118</c:v>
                </c:pt>
                <c:pt idx="8">
                  <c:v>95</c:v>
                </c:pt>
              </c:numCache>
            </c:numRef>
          </c:val>
          <c:smooth val="0"/>
        </c:ser>
        <c:dLbls>
          <c:showLegendKey val="0"/>
          <c:showVal val="0"/>
          <c:showCatName val="0"/>
          <c:showSerName val="0"/>
          <c:showPercent val="0"/>
          <c:showBubbleSize val="0"/>
        </c:dLbls>
        <c:smooth val="0"/>
        <c:axId val="727777616"/>
        <c:axId val="727779248"/>
      </c:lineChart>
      <c:catAx>
        <c:axId val="727777616"/>
        <c:scaling>
          <c:orientation val="minMax"/>
        </c:scaling>
        <c:delete val="0"/>
        <c:axPos val="b"/>
        <c:numFmt formatCode="General" sourceLinked="0"/>
        <c:majorTickMark val="out"/>
        <c:minorTickMark val="none"/>
        <c:tickLblPos val="nextTo"/>
        <c:txPr>
          <a:bodyPr rot="-2700000"/>
          <a:lstStyle/>
          <a:p>
            <a:pPr>
              <a:defRPr sz="800"/>
            </a:pPr>
            <a:endParaRPr lang="da-DK"/>
          </a:p>
        </c:txPr>
        <c:crossAx val="727779248"/>
        <c:crosses val="autoZero"/>
        <c:auto val="1"/>
        <c:lblAlgn val="ctr"/>
        <c:lblOffset val="100"/>
        <c:noMultiLvlLbl val="0"/>
      </c:catAx>
      <c:valAx>
        <c:axId val="727779248"/>
        <c:scaling>
          <c:orientation val="minMax"/>
        </c:scaling>
        <c:delete val="0"/>
        <c:axPos val="l"/>
        <c:majorGridlines/>
        <c:numFmt formatCode="General" sourceLinked="1"/>
        <c:majorTickMark val="out"/>
        <c:minorTickMark val="none"/>
        <c:tickLblPos val="nextTo"/>
        <c:crossAx val="727777616"/>
        <c:crosses val="autoZero"/>
        <c:crossBetween val="between"/>
      </c:valAx>
    </c:plotArea>
    <c:legend>
      <c:legendPos val="b"/>
      <c:overlay val="0"/>
    </c:legend>
    <c:plotVisOnly val="1"/>
    <c:dispBlanksAs val="gap"/>
    <c:showDLblsOverMax val="0"/>
  </c:chart>
  <c:txPr>
    <a:bodyPr/>
    <a:lstStyle/>
    <a:p>
      <a:pPr>
        <a:defRPr sz="800">
          <a:latin typeface="Garamond" panose="02020404030301010803" pitchFamily="18" charset="0"/>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lineChart>
        <c:grouping val="standard"/>
        <c:varyColors val="0"/>
        <c:ser>
          <c:idx val="2"/>
          <c:order val="0"/>
          <c:tx>
            <c:strRef>
              <c:f>'Fig2new (2)'!$F$1</c:f>
              <c:strCache>
                <c:ptCount val="1"/>
                <c:pt idx="0">
                  <c:v>Greenfield - China</c:v>
                </c:pt>
              </c:strCache>
            </c:strRef>
          </c:tx>
          <c:spPr>
            <a:ln>
              <a:solidFill>
                <a:schemeClr val="bg1">
                  <a:lumMod val="65000"/>
                </a:schemeClr>
              </a:solidFill>
            </a:ln>
          </c:spPr>
          <c:marker>
            <c:symbol val="none"/>
          </c:marker>
          <c:cat>
            <c:strRef>
              <c:f>'Fig2new (2)'!$A$2:$A$10</c:f>
              <c:strCache>
                <c:ptCount val="9"/>
                <c:pt idx="0">
                  <c:v>2003</c:v>
                </c:pt>
                <c:pt idx="1">
                  <c:v>2004</c:v>
                </c:pt>
                <c:pt idx="2">
                  <c:v>2005</c:v>
                </c:pt>
                <c:pt idx="3">
                  <c:v>2006</c:v>
                </c:pt>
                <c:pt idx="4">
                  <c:v>2007</c:v>
                </c:pt>
                <c:pt idx="5">
                  <c:v>2008</c:v>
                </c:pt>
                <c:pt idx="6">
                  <c:v>2009</c:v>
                </c:pt>
                <c:pt idx="7">
                  <c:v>2010</c:v>
                </c:pt>
                <c:pt idx="8">
                  <c:v>2011</c:v>
                </c:pt>
              </c:strCache>
            </c:strRef>
          </c:cat>
          <c:val>
            <c:numRef>
              <c:f>'Fig2new (2)'!$F$2:$F$10</c:f>
              <c:numCache>
                <c:formatCode>General</c:formatCode>
                <c:ptCount val="9"/>
                <c:pt idx="0">
                  <c:v>14</c:v>
                </c:pt>
                <c:pt idx="1">
                  <c:v>25</c:v>
                </c:pt>
                <c:pt idx="2">
                  <c:v>49</c:v>
                </c:pt>
                <c:pt idx="3">
                  <c:v>27</c:v>
                </c:pt>
                <c:pt idx="4">
                  <c:v>73</c:v>
                </c:pt>
                <c:pt idx="5">
                  <c:v>78</c:v>
                </c:pt>
                <c:pt idx="6">
                  <c:v>116</c:v>
                </c:pt>
                <c:pt idx="7">
                  <c:v>138</c:v>
                </c:pt>
                <c:pt idx="8">
                  <c:v>153</c:v>
                </c:pt>
              </c:numCache>
            </c:numRef>
          </c:val>
          <c:smooth val="0"/>
        </c:ser>
        <c:ser>
          <c:idx val="3"/>
          <c:order val="1"/>
          <c:tx>
            <c:strRef>
              <c:f>'Fig2new (2)'!$H$1</c:f>
              <c:strCache>
                <c:ptCount val="1"/>
                <c:pt idx="0">
                  <c:v>Greenfield - India</c:v>
                </c:pt>
              </c:strCache>
            </c:strRef>
          </c:tx>
          <c:spPr>
            <a:ln>
              <a:solidFill>
                <a:schemeClr val="tx1">
                  <a:lumMod val="75000"/>
                  <a:lumOff val="25000"/>
                </a:schemeClr>
              </a:solidFill>
            </a:ln>
          </c:spPr>
          <c:marker>
            <c:symbol val="none"/>
          </c:marker>
          <c:cat>
            <c:strRef>
              <c:f>'Fig2new (2)'!$A$2:$A$10</c:f>
              <c:strCache>
                <c:ptCount val="9"/>
                <c:pt idx="0">
                  <c:v>2003</c:v>
                </c:pt>
                <c:pt idx="1">
                  <c:v>2004</c:v>
                </c:pt>
                <c:pt idx="2">
                  <c:v>2005</c:v>
                </c:pt>
                <c:pt idx="3">
                  <c:v>2006</c:v>
                </c:pt>
                <c:pt idx="4">
                  <c:v>2007</c:v>
                </c:pt>
                <c:pt idx="5">
                  <c:v>2008</c:v>
                </c:pt>
                <c:pt idx="6">
                  <c:v>2009</c:v>
                </c:pt>
                <c:pt idx="7">
                  <c:v>2010</c:v>
                </c:pt>
                <c:pt idx="8">
                  <c:v>2011</c:v>
                </c:pt>
              </c:strCache>
            </c:strRef>
          </c:cat>
          <c:val>
            <c:numRef>
              <c:f>'Fig2new (2)'!$H$2:$H$10</c:f>
              <c:numCache>
                <c:formatCode>General</c:formatCode>
                <c:ptCount val="9"/>
                <c:pt idx="0">
                  <c:v>23</c:v>
                </c:pt>
                <c:pt idx="1">
                  <c:v>35</c:v>
                </c:pt>
                <c:pt idx="2">
                  <c:v>44</c:v>
                </c:pt>
                <c:pt idx="3">
                  <c:v>61</c:v>
                </c:pt>
                <c:pt idx="4">
                  <c:v>43</c:v>
                </c:pt>
                <c:pt idx="5">
                  <c:v>85</c:v>
                </c:pt>
                <c:pt idx="6">
                  <c:v>57</c:v>
                </c:pt>
                <c:pt idx="7">
                  <c:v>94</c:v>
                </c:pt>
                <c:pt idx="8">
                  <c:v>78</c:v>
                </c:pt>
              </c:numCache>
            </c:numRef>
          </c:val>
          <c:smooth val="0"/>
        </c:ser>
        <c:ser>
          <c:idx val="0"/>
          <c:order val="2"/>
          <c:tx>
            <c:strRef>
              <c:f>'Fig2new (2)'!$G$1</c:f>
              <c:strCache>
                <c:ptCount val="1"/>
                <c:pt idx="0">
                  <c:v>M&amp;A - China</c:v>
                </c:pt>
              </c:strCache>
            </c:strRef>
          </c:tx>
          <c:spPr>
            <a:ln>
              <a:solidFill>
                <a:schemeClr val="bg1">
                  <a:lumMod val="65000"/>
                </a:schemeClr>
              </a:solidFill>
              <a:prstDash val="sysDash"/>
            </a:ln>
          </c:spPr>
          <c:marker>
            <c:symbol val="none"/>
          </c:marker>
          <c:val>
            <c:numRef>
              <c:f>'Fig2new (2)'!$G$2:$G$10</c:f>
              <c:numCache>
                <c:formatCode>General</c:formatCode>
                <c:ptCount val="9"/>
                <c:pt idx="0">
                  <c:v>2</c:v>
                </c:pt>
                <c:pt idx="1">
                  <c:v>8</c:v>
                </c:pt>
                <c:pt idx="2">
                  <c:v>14</c:v>
                </c:pt>
                <c:pt idx="3">
                  <c:v>6</c:v>
                </c:pt>
                <c:pt idx="4">
                  <c:v>21</c:v>
                </c:pt>
                <c:pt idx="5">
                  <c:v>20</c:v>
                </c:pt>
                <c:pt idx="6">
                  <c:v>19</c:v>
                </c:pt>
                <c:pt idx="7">
                  <c:v>9</c:v>
                </c:pt>
                <c:pt idx="8">
                  <c:v>32</c:v>
                </c:pt>
              </c:numCache>
            </c:numRef>
          </c:val>
          <c:smooth val="0"/>
        </c:ser>
        <c:ser>
          <c:idx val="1"/>
          <c:order val="3"/>
          <c:tx>
            <c:strRef>
              <c:f>'Fig2new (2)'!$I$1</c:f>
              <c:strCache>
                <c:ptCount val="1"/>
                <c:pt idx="0">
                  <c:v>M&amp;A - India</c:v>
                </c:pt>
              </c:strCache>
            </c:strRef>
          </c:tx>
          <c:spPr>
            <a:ln>
              <a:solidFill>
                <a:schemeClr val="tx1">
                  <a:lumMod val="75000"/>
                  <a:lumOff val="25000"/>
                </a:schemeClr>
              </a:solidFill>
              <a:prstDash val="sysDot"/>
            </a:ln>
          </c:spPr>
          <c:marker>
            <c:symbol val="none"/>
          </c:marker>
          <c:val>
            <c:numRef>
              <c:f>'Fig2new (2)'!$I$2:$I$10</c:f>
              <c:numCache>
                <c:formatCode>General</c:formatCode>
                <c:ptCount val="9"/>
                <c:pt idx="0">
                  <c:v>15</c:v>
                </c:pt>
                <c:pt idx="1">
                  <c:v>19</c:v>
                </c:pt>
                <c:pt idx="2">
                  <c:v>44</c:v>
                </c:pt>
                <c:pt idx="3">
                  <c:v>57</c:v>
                </c:pt>
                <c:pt idx="4">
                  <c:v>68</c:v>
                </c:pt>
                <c:pt idx="5">
                  <c:v>72</c:v>
                </c:pt>
                <c:pt idx="6">
                  <c:v>26</c:v>
                </c:pt>
                <c:pt idx="7">
                  <c:v>42</c:v>
                </c:pt>
                <c:pt idx="8">
                  <c:v>42</c:v>
                </c:pt>
              </c:numCache>
            </c:numRef>
          </c:val>
          <c:smooth val="0"/>
        </c:ser>
        <c:dLbls>
          <c:showLegendKey val="0"/>
          <c:showVal val="0"/>
          <c:showCatName val="0"/>
          <c:showSerName val="0"/>
          <c:showPercent val="0"/>
          <c:showBubbleSize val="0"/>
        </c:dLbls>
        <c:smooth val="0"/>
        <c:axId val="644514928"/>
        <c:axId val="644517104"/>
      </c:lineChart>
      <c:catAx>
        <c:axId val="644514928"/>
        <c:scaling>
          <c:orientation val="minMax"/>
        </c:scaling>
        <c:delete val="0"/>
        <c:axPos val="b"/>
        <c:numFmt formatCode="General" sourceLinked="0"/>
        <c:majorTickMark val="out"/>
        <c:minorTickMark val="none"/>
        <c:tickLblPos val="nextTo"/>
        <c:txPr>
          <a:bodyPr rot="-2700000"/>
          <a:lstStyle/>
          <a:p>
            <a:pPr>
              <a:defRPr/>
            </a:pPr>
            <a:endParaRPr lang="da-DK"/>
          </a:p>
        </c:txPr>
        <c:crossAx val="644517104"/>
        <c:crosses val="autoZero"/>
        <c:auto val="1"/>
        <c:lblAlgn val="ctr"/>
        <c:lblOffset val="100"/>
        <c:noMultiLvlLbl val="0"/>
      </c:catAx>
      <c:valAx>
        <c:axId val="644517104"/>
        <c:scaling>
          <c:orientation val="minMax"/>
        </c:scaling>
        <c:delete val="0"/>
        <c:axPos val="l"/>
        <c:majorGridlines/>
        <c:numFmt formatCode="General" sourceLinked="1"/>
        <c:majorTickMark val="out"/>
        <c:minorTickMark val="none"/>
        <c:tickLblPos val="nextTo"/>
        <c:crossAx val="644514928"/>
        <c:crosses val="autoZero"/>
        <c:crossBetween val="between"/>
      </c:valAx>
    </c:plotArea>
    <c:legend>
      <c:legendPos val="b"/>
      <c:overlay val="0"/>
    </c:legend>
    <c:plotVisOnly val="1"/>
    <c:dispBlanksAs val="gap"/>
    <c:showDLblsOverMax val="0"/>
  </c:chart>
  <c:txPr>
    <a:bodyPr/>
    <a:lstStyle/>
    <a:p>
      <a:pPr>
        <a:defRPr sz="800">
          <a:latin typeface="Garamond" panose="02020404030301010803" pitchFamily="18" charset="0"/>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marker>
            <c:spPr>
              <a:solidFill>
                <a:srgbClr val="FF0000"/>
              </a:solidFill>
            </c:spPr>
          </c:marker>
          <c:xVal>
            <c:numRef>
              <c:f>tab5bis!$B$2:$B$514</c:f>
              <c:numCache>
                <c:formatCode>0.00</c:formatCode>
                <c:ptCount val="513"/>
                <c:pt idx="0">
                  <c:v>3.9122807017543861</c:v>
                </c:pt>
                <c:pt idx="1">
                  <c:v>1.9122807017543859</c:v>
                </c:pt>
                <c:pt idx="2">
                  <c:v>1.9122807017543859</c:v>
                </c:pt>
                <c:pt idx="3">
                  <c:v>1.9122807017543859</c:v>
                </c:pt>
                <c:pt idx="4">
                  <c:v>1.9122807017543859</c:v>
                </c:pt>
                <c:pt idx="5">
                  <c:v>0.91228070175438591</c:v>
                </c:pt>
                <c:pt idx="6">
                  <c:v>0.91228070175438591</c:v>
                </c:pt>
                <c:pt idx="7">
                  <c:v>0.91228070175438591</c:v>
                </c:pt>
                <c:pt idx="8">
                  <c:v>0.91228070175438591</c:v>
                </c:pt>
                <c:pt idx="9">
                  <c:v>0.91228070175438591</c:v>
                </c:pt>
                <c:pt idx="10">
                  <c:v>0.91228070175438591</c:v>
                </c:pt>
                <c:pt idx="11">
                  <c:v>0.91228070175438591</c:v>
                </c:pt>
                <c:pt idx="12">
                  <c:v>0.91228070175438591</c:v>
                </c:pt>
                <c:pt idx="13">
                  <c:v>0.91228070175438591</c:v>
                </c:pt>
                <c:pt idx="14">
                  <c:v>0.91228070175438591</c:v>
                </c:pt>
                <c:pt idx="15">
                  <c:v>0.91228070175438591</c:v>
                </c:pt>
                <c:pt idx="16">
                  <c:v>0.91228070175438591</c:v>
                </c:pt>
                <c:pt idx="17">
                  <c:v>0.91228070175438591</c:v>
                </c:pt>
                <c:pt idx="18">
                  <c:v>0.91228070175438591</c:v>
                </c:pt>
                <c:pt idx="19">
                  <c:v>0.91228070175438591</c:v>
                </c:pt>
                <c:pt idx="20">
                  <c:v>0.91228070175438591</c:v>
                </c:pt>
                <c:pt idx="21">
                  <c:v>0.91228070175438591</c:v>
                </c:pt>
                <c:pt idx="22">
                  <c:v>0.91228070175438591</c:v>
                </c:pt>
                <c:pt idx="23">
                  <c:v>0.91228070175438591</c:v>
                </c:pt>
                <c:pt idx="24">
                  <c:v>0.91228070175438591</c:v>
                </c:pt>
                <c:pt idx="25">
                  <c:v>0.91228070175438591</c:v>
                </c:pt>
                <c:pt idx="26">
                  <c:v>0.91228070175438591</c:v>
                </c:pt>
                <c:pt idx="27">
                  <c:v>0.91228070175438591</c:v>
                </c:pt>
                <c:pt idx="28">
                  <c:v>0.91228070175438591</c:v>
                </c:pt>
                <c:pt idx="29">
                  <c:v>0.91228070175438591</c:v>
                </c:pt>
                <c:pt idx="30">
                  <c:v>0.91228070175438591</c:v>
                </c:pt>
                <c:pt idx="31">
                  <c:v>0.91228070175438591</c:v>
                </c:pt>
                <c:pt idx="32">
                  <c:v>0.91228070175438591</c:v>
                </c:pt>
                <c:pt idx="33">
                  <c:v>0.91228070175438591</c:v>
                </c:pt>
                <c:pt idx="34">
                  <c:v>0.91228070175438591</c:v>
                </c:pt>
                <c:pt idx="35">
                  <c:v>0.91228070175438591</c:v>
                </c:pt>
                <c:pt idx="36">
                  <c:v>0.91228070175438591</c:v>
                </c:pt>
                <c:pt idx="37">
                  <c:v>0.91228070175438591</c:v>
                </c:pt>
                <c:pt idx="38">
                  <c:v>-8.7719298245614086E-2</c:v>
                </c:pt>
                <c:pt idx="39">
                  <c:v>-8.7719298245614086E-2</c:v>
                </c:pt>
                <c:pt idx="40">
                  <c:v>-8.7719298245614086E-2</c:v>
                </c:pt>
                <c:pt idx="41">
                  <c:v>-8.7719298245614086E-2</c:v>
                </c:pt>
                <c:pt idx="42">
                  <c:v>-8.7719298245614086E-2</c:v>
                </c:pt>
                <c:pt idx="43">
                  <c:v>-8.7719298245614086E-2</c:v>
                </c:pt>
                <c:pt idx="44">
                  <c:v>-8.7719298245614086E-2</c:v>
                </c:pt>
                <c:pt idx="45">
                  <c:v>-8.7719298245614086E-2</c:v>
                </c:pt>
                <c:pt idx="46">
                  <c:v>-8.7719298245614086E-2</c:v>
                </c:pt>
                <c:pt idx="47">
                  <c:v>-8.7719298245614086E-2</c:v>
                </c:pt>
                <c:pt idx="48">
                  <c:v>-8.7719298245614086E-2</c:v>
                </c:pt>
                <c:pt idx="49">
                  <c:v>-8.7719298245614086E-2</c:v>
                </c:pt>
                <c:pt idx="50">
                  <c:v>-8.7719298245614086E-2</c:v>
                </c:pt>
                <c:pt idx="51">
                  <c:v>-8.7719298245614086E-2</c:v>
                </c:pt>
                <c:pt idx="52">
                  <c:v>-8.7719298245614086E-2</c:v>
                </c:pt>
                <c:pt idx="53">
                  <c:v>-8.7719298245614086E-2</c:v>
                </c:pt>
                <c:pt idx="54">
                  <c:v>-8.7719298245614086E-2</c:v>
                </c:pt>
                <c:pt idx="55">
                  <c:v>-8.7719298245614086E-2</c:v>
                </c:pt>
                <c:pt idx="56">
                  <c:v>-8.7719298245614086E-2</c:v>
                </c:pt>
                <c:pt idx="57">
                  <c:v>-8.7719298245614086E-2</c:v>
                </c:pt>
                <c:pt idx="58">
                  <c:v>-8.7719298245614086E-2</c:v>
                </c:pt>
                <c:pt idx="59">
                  <c:v>-8.7719298245614086E-2</c:v>
                </c:pt>
                <c:pt idx="60">
                  <c:v>-8.7719298245614086E-2</c:v>
                </c:pt>
                <c:pt idx="61">
                  <c:v>-8.7719298245614086E-2</c:v>
                </c:pt>
                <c:pt idx="62">
                  <c:v>-8.7719298245614086E-2</c:v>
                </c:pt>
                <c:pt idx="63">
                  <c:v>-8.7719298245614086E-2</c:v>
                </c:pt>
                <c:pt idx="64">
                  <c:v>-8.7719298245614086E-2</c:v>
                </c:pt>
                <c:pt idx="65">
                  <c:v>-8.7719298245614086E-2</c:v>
                </c:pt>
                <c:pt idx="66">
                  <c:v>-8.7719298245614086E-2</c:v>
                </c:pt>
                <c:pt idx="67">
                  <c:v>-8.7719298245614086E-2</c:v>
                </c:pt>
                <c:pt idx="68">
                  <c:v>-8.7719298245614086E-2</c:v>
                </c:pt>
                <c:pt idx="69">
                  <c:v>-8.7719298245614086E-2</c:v>
                </c:pt>
                <c:pt idx="70">
                  <c:v>-8.7719298245614086E-2</c:v>
                </c:pt>
                <c:pt idx="71">
                  <c:v>-8.7719298245614086E-2</c:v>
                </c:pt>
                <c:pt idx="72">
                  <c:v>-8.7719298245614086E-2</c:v>
                </c:pt>
                <c:pt idx="73">
                  <c:v>-8.7719298245614086E-2</c:v>
                </c:pt>
                <c:pt idx="74">
                  <c:v>-8.7719298245614086E-2</c:v>
                </c:pt>
                <c:pt idx="75">
                  <c:v>-8.7719298245614086E-2</c:v>
                </c:pt>
                <c:pt idx="76">
                  <c:v>-8.7719298245614086E-2</c:v>
                </c:pt>
                <c:pt idx="77">
                  <c:v>-8.7719298245614086E-2</c:v>
                </c:pt>
                <c:pt idx="78">
                  <c:v>-8.7719298245614086E-2</c:v>
                </c:pt>
                <c:pt idx="79">
                  <c:v>-8.7719298245614086E-2</c:v>
                </c:pt>
                <c:pt idx="80">
                  <c:v>-8.7719298245614086E-2</c:v>
                </c:pt>
                <c:pt idx="81">
                  <c:v>-8.7719298245614086E-2</c:v>
                </c:pt>
                <c:pt idx="82">
                  <c:v>-8.7719298245614086E-2</c:v>
                </c:pt>
                <c:pt idx="83">
                  <c:v>-8.7719298245614086E-2</c:v>
                </c:pt>
                <c:pt idx="84">
                  <c:v>-8.7719298245614086E-2</c:v>
                </c:pt>
                <c:pt idx="85">
                  <c:v>-8.7719298245614086E-2</c:v>
                </c:pt>
                <c:pt idx="86">
                  <c:v>-8.7719298245614086E-2</c:v>
                </c:pt>
                <c:pt idx="87">
                  <c:v>-8.7719298245614086E-2</c:v>
                </c:pt>
                <c:pt idx="88">
                  <c:v>-8.7719298245614086E-2</c:v>
                </c:pt>
                <c:pt idx="89">
                  <c:v>-8.7719298245614086E-2</c:v>
                </c:pt>
                <c:pt idx="90">
                  <c:v>-8.7719298245614086E-2</c:v>
                </c:pt>
                <c:pt idx="91">
                  <c:v>-8.7719298245614086E-2</c:v>
                </c:pt>
                <c:pt idx="92">
                  <c:v>-8.7719298245614086E-2</c:v>
                </c:pt>
                <c:pt idx="93">
                  <c:v>-8.7719298245614086E-2</c:v>
                </c:pt>
                <c:pt idx="94">
                  <c:v>-8.7719298245614086E-2</c:v>
                </c:pt>
                <c:pt idx="95">
                  <c:v>-8.7719298245614086E-2</c:v>
                </c:pt>
                <c:pt idx="96">
                  <c:v>-8.7719298245614086E-2</c:v>
                </c:pt>
                <c:pt idx="97">
                  <c:v>-8.7719298245614086E-2</c:v>
                </c:pt>
                <c:pt idx="98">
                  <c:v>-8.7719298245614086E-2</c:v>
                </c:pt>
                <c:pt idx="99">
                  <c:v>-8.7719298245614086E-2</c:v>
                </c:pt>
                <c:pt idx="100">
                  <c:v>-8.7719298245614086E-2</c:v>
                </c:pt>
                <c:pt idx="101">
                  <c:v>-8.7719298245614086E-2</c:v>
                </c:pt>
                <c:pt idx="102">
                  <c:v>-8.7719298245614086E-2</c:v>
                </c:pt>
                <c:pt idx="103">
                  <c:v>-8.7719298245614086E-2</c:v>
                </c:pt>
                <c:pt idx="104">
                  <c:v>-8.7719298245614086E-2</c:v>
                </c:pt>
                <c:pt idx="105">
                  <c:v>-8.7719298245614086E-2</c:v>
                </c:pt>
                <c:pt idx="106">
                  <c:v>-8.7719298245614086E-2</c:v>
                </c:pt>
                <c:pt idx="107">
                  <c:v>-8.7719298245614086E-2</c:v>
                </c:pt>
                <c:pt idx="108">
                  <c:v>-8.7719298245614086E-2</c:v>
                </c:pt>
                <c:pt idx="109">
                  <c:v>-8.7719298245614086E-2</c:v>
                </c:pt>
                <c:pt idx="110">
                  <c:v>-8.7719298245614086E-2</c:v>
                </c:pt>
                <c:pt idx="111">
                  <c:v>-8.7719298245614086E-2</c:v>
                </c:pt>
                <c:pt idx="112">
                  <c:v>-8.7719298245614086E-2</c:v>
                </c:pt>
                <c:pt idx="113">
                  <c:v>-8.7719298245614086E-2</c:v>
                </c:pt>
                <c:pt idx="114">
                  <c:v>-8.7719298245614086E-2</c:v>
                </c:pt>
                <c:pt idx="115">
                  <c:v>-8.7719298245614086E-2</c:v>
                </c:pt>
                <c:pt idx="116">
                  <c:v>-8.7719298245614086E-2</c:v>
                </c:pt>
                <c:pt idx="117">
                  <c:v>-8.7719298245614086E-2</c:v>
                </c:pt>
                <c:pt idx="118">
                  <c:v>-8.7719298245614086E-2</c:v>
                </c:pt>
                <c:pt idx="119">
                  <c:v>-8.7719298245614086E-2</c:v>
                </c:pt>
                <c:pt idx="120">
                  <c:v>-8.7719298245614086E-2</c:v>
                </c:pt>
                <c:pt idx="121">
                  <c:v>-8.7719298245614086E-2</c:v>
                </c:pt>
                <c:pt idx="122">
                  <c:v>-8.7719298245614086E-2</c:v>
                </c:pt>
                <c:pt idx="123">
                  <c:v>-8.7719298245614086E-2</c:v>
                </c:pt>
                <c:pt idx="124">
                  <c:v>-8.7719298245614086E-2</c:v>
                </c:pt>
                <c:pt idx="125">
                  <c:v>-8.7719298245614086E-2</c:v>
                </c:pt>
                <c:pt idx="126">
                  <c:v>-8.7719298245614086E-2</c:v>
                </c:pt>
                <c:pt idx="127">
                  <c:v>-8.7719298245614086E-2</c:v>
                </c:pt>
                <c:pt idx="128">
                  <c:v>-8.7719298245614086E-2</c:v>
                </c:pt>
                <c:pt idx="129">
                  <c:v>-8.7719298245614086E-2</c:v>
                </c:pt>
                <c:pt idx="130">
                  <c:v>-8.7719298245614086E-2</c:v>
                </c:pt>
                <c:pt idx="131">
                  <c:v>-8.7719298245614086E-2</c:v>
                </c:pt>
                <c:pt idx="132">
                  <c:v>-8.7719298245614086E-2</c:v>
                </c:pt>
                <c:pt idx="133">
                  <c:v>-8.7719298245614086E-2</c:v>
                </c:pt>
                <c:pt idx="134">
                  <c:v>-8.7719298245614086E-2</c:v>
                </c:pt>
                <c:pt idx="135">
                  <c:v>-8.7719298245614086E-2</c:v>
                </c:pt>
                <c:pt idx="136">
                  <c:v>-8.7719298245614086E-2</c:v>
                </c:pt>
                <c:pt idx="137">
                  <c:v>-8.7719298245614086E-2</c:v>
                </c:pt>
                <c:pt idx="138">
                  <c:v>-8.7719298245614086E-2</c:v>
                </c:pt>
                <c:pt idx="139">
                  <c:v>-8.7719298245614086E-2</c:v>
                </c:pt>
                <c:pt idx="140">
                  <c:v>-8.7719298245614086E-2</c:v>
                </c:pt>
                <c:pt idx="141">
                  <c:v>-8.7719298245614086E-2</c:v>
                </c:pt>
                <c:pt idx="142">
                  <c:v>-8.7719298245614086E-2</c:v>
                </c:pt>
                <c:pt idx="143">
                  <c:v>-8.7719298245614086E-2</c:v>
                </c:pt>
                <c:pt idx="144">
                  <c:v>-8.7719298245614086E-2</c:v>
                </c:pt>
                <c:pt idx="145">
                  <c:v>-8.7719298245614086E-2</c:v>
                </c:pt>
                <c:pt idx="146">
                  <c:v>-8.7719298245614086E-2</c:v>
                </c:pt>
                <c:pt idx="147">
                  <c:v>-8.7719298245614086E-2</c:v>
                </c:pt>
                <c:pt idx="148">
                  <c:v>-8.7719298245614086E-2</c:v>
                </c:pt>
                <c:pt idx="149">
                  <c:v>-8.7719298245614086E-2</c:v>
                </c:pt>
                <c:pt idx="150">
                  <c:v>-8.7719298245614086E-2</c:v>
                </c:pt>
                <c:pt idx="151">
                  <c:v>-8.7719298245614086E-2</c:v>
                </c:pt>
                <c:pt idx="152">
                  <c:v>-8.7719298245614086E-2</c:v>
                </c:pt>
                <c:pt idx="153">
                  <c:v>-8.7719298245614086E-2</c:v>
                </c:pt>
                <c:pt idx="154">
                  <c:v>-8.7719298245614086E-2</c:v>
                </c:pt>
                <c:pt idx="155">
                  <c:v>-8.7719298245614086E-2</c:v>
                </c:pt>
                <c:pt idx="156">
                  <c:v>-8.7719298245614086E-2</c:v>
                </c:pt>
                <c:pt idx="157">
                  <c:v>-8.7719298245614086E-2</c:v>
                </c:pt>
                <c:pt idx="158">
                  <c:v>-8.7719298245614086E-2</c:v>
                </c:pt>
                <c:pt idx="159">
                  <c:v>-8.7719298245614086E-2</c:v>
                </c:pt>
                <c:pt idx="160">
                  <c:v>-8.7719298245614086E-2</c:v>
                </c:pt>
                <c:pt idx="161">
                  <c:v>-8.7719298245614086E-2</c:v>
                </c:pt>
                <c:pt idx="162">
                  <c:v>-8.7719298245614086E-2</c:v>
                </c:pt>
                <c:pt idx="163">
                  <c:v>-8.7719298245614086E-2</c:v>
                </c:pt>
                <c:pt idx="164">
                  <c:v>-8.7719298245614086E-2</c:v>
                </c:pt>
                <c:pt idx="165">
                  <c:v>-8.7719298245614086E-2</c:v>
                </c:pt>
                <c:pt idx="166">
                  <c:v>-8.7719298245614086E-2</c:v>
                </c:pt>
                <c:pt idx="167">
                  <c:v>-8.7719298245614086E-2</c:v>
                </c:pt>
                <c:pt idx="168">
                  <c:v>-8.7719298245614086E-2</c:v>
                </c:pt>
                <c:pt idx="169">
                  <c:v>-8.7719298245614086E-2</c:v>
                </c:pt>
                <c:pt idx="170">
                  <c:v>-8.7719298245614086E-2</c:v>
                </c:pt>
                <c:pt idx="171">
                  <c:v>-8.7719298245614086E-2</c:v>
                </c:pt>
                <c:pt idx="172">
                  <c:v>-8.7719298245614086E-2</c:v>
                </c:pt>
                <c:pt idx="173">
                  <c:v>-8.7719298245614086E-2</c:v>
                </c:pt>
                <c:pt idx="174">
                  <c:v>-8.7719298245614086E-2</c:v>
                </c:pt>
                <c:pt idx="175">
                  <c:v>-8.7719298245614086E-2</c:v>
                </c:pt>
                <c:pt idx="176">
                  <c:v>-8.7719298245614086E-2</c:v>
                </c:pt>
                <c:pt idx="177">
                  <c:v>-8.7719298245614086E-2</c:v>
                </c:pt>
                <c:pt idx="178">
                  <c:v>-8.7719298245614086E-2</c:v>
                </c:pt>
                <c:pt idx="179">
                  <c:v>-8.7719298245614086E-2</c:v>
                </c:pt>
                <c:pt idx="180">
                  <c:v>-8.7719298245614086E-2</c:v>
                </c:pt>
                <c:pt idx="181">
                  <c:v>-8.7719298245614086E-2</c:v>
                </c:pt>
                <c:pt idx="182">
                  <c:v>-8.7719298245614086E-2</c:v>
                </c:pt>
                <c:pt idx="183">
                  <c:v>-8.7719298245614086E-2</c:v>
                </c:pt>
                <c:pt idx="184">
                  <c:v>-8.7719298245614086E-2</c:v>
                </c:pt>
                <c:pt idx="185">
                  <c:v>-8.7719298245614086E-2</c:v>
                </c:pt>
                <c:pt idx="186">
                  <c:v>-8.7719298245614086E-2</c:v>
                </c:pt>
                <c:pt idx="187">
                  <c:v>-8.7719298245614086E-2</c:v>
                </c:pt>
                <c:pt idx="188">
                  <c:v>-8.7719298245614086E-2</c:v>
                </c:pt>
                <c:pt idx="189">
                  <c:v>-8.7719298245614086E-2</c:v>
                </c:pt>
                <c:pt idx="190">
                  <c:v>-8.7719298245614086E-2</c:v>
                </c:pt>
                <c:pt idx="191">
                  <c:v>-8.7719298245614086E-2</c:v>
                </c:pt>
                <c:pt idx="192">
                  <c:v>-8.7719298245614086E-2</c:v>
                </c:pt>
                <c:pt idx="193">
                  <c:v>-8.7719298245614086E-2</c:v>
                </c:pt>
                <c:pt idx="194">
                  <c:v>-8.7719298245614086E-2</c:v>
                </c:pt>
                <c:pt idx="195">
                  <c:v>-8.7719298245614086E-2</c:v>
                </c:pt>
                <c:pt idx="196">
                  <c:v>-8.7719298245614086E-2</c:v>
                </c:pt>
                <c:pt idx="197">
                  <c:v>-8.7719298245614086E-2</c:v>
                </c:pt>
                <c:pt idx="198">
                  <c:v>-8.7719298245614086E-2</c:v>
                </c:pt>
                <c:pt idx="199">
                  <c:v>-8.7719298245614086E-2</c:v>
                </c:pt>
                <c:pt idx="200">
                  <c:v>-8.7719298245614086E-2</c:v>
                </c:pt>
                <c:pt idx="201">
                  <c:v>-8.7719298245614086E-2</c:v>
                </c:pt>
                <c:pt idx="202">
                  <c:v>-8.7719298245614086E-2</c:v>
                </c:pt>
                <c:pt idx="203">
                  <c:v>-8.7719298245614086E-2</c:v>
                </c:pt>
                <c:pt idx="204">
                  <c:v>-8.7719298245614086E-2</c:v>
                </c:pt>
                <c:pt idx="205">
                  <c:v>-8.7719298245614086E-2</c:v>
                </c:pt>
                <c:pt idx="206">
                  <c:v>-8.7719298245614086E-2</c:v>
                </c:pt>
                <c:pt idx="207">
                  <c:v>-8.7719298245614086E-2</c:v>
                </c:pt>
                <c:pt idx="208">
                  <c:v>-8.7719298245614086E-2</c:v>
                </c:pt>
                <c:pt idx="209">
                  <c:v>-8.7719298245614086E-2</c:v>
                </c:pt>
                <c:pt idx="210">
                  <c:v>-8.7719298245614086E-2</c:v>
                </c:pt>
                <c:pt idx="211">
                  <c:v>-8.7719298245614086E-2</c:v>
                </c:pt>
                <c:pt idx="212">
                  <c:v>-8.7719298245614086E-2</c:v>
                </c:pt>
                <c:pt idx="213">
                  <c:v>-8.7719298245614086E-2</c:v>
                </c:pt>
                <c:pt idx="214">
                  <c:v>-8.7719298245614086E-2</c:v>
                </c:pt>
                <c:pt idx="215">
                  <c:v>-8.7719298245614086E-2</c:v>
                </c:pt>
                <c:pt idx="216">
                  <c:v>-8.7719298245614086E-2</c:v>
                </c:pt>
                <c:pt idx="217">
                  <c:v>-8.7719298245614086E-2</c:v>
                </c:pt>
                <c:pt idx="218">
                  <c:v>-8.7719298245614086E-2</c:v>
                </c:pt>
                <c:pt idx="219">
                  <c:v>-8.7719298245614086E-2</c:v>
                </c:pt>
                <c:pt idx="220">
                  <c:v>-8.7719298245614086E-2</c:v>
                </c:pt>
                <c:pt idx="221">
                  <c:v>-8.7719298245614086E-2</c:v>
                </c:pt>
                <c:pt idx="222">
                  <c:v>-8.7719298245614086E-2</c:v>
                </c:pt>
                <c:pt idx="223">
                  <c:v>-8.7719298245614086E-2</c:v>
                </c:pt>
                <c:pt idx="224">
                  <c:v>-8.7719298245614086E-2</c:v>
                </c:pt>
                <c:pt idx="225">
                  <c:v>-8.7719298245614086E-2</c:v>
                </c:pt>
                <c:pt idx="226">
                  <c:v>-8.7719298245614086E-2</c:v>
                </c:pt>
                <c:pt idx="227">
                  <c:v>-8.7719298245614086E-2</c:v>
                </c:pt>
                <c:pt idx="228">
                  <c:v>-8.7719298245614086E-2</c:v>
                </c:pt>
                <c:pt idx="229">
                  <c:v>-8.7719298245614086E-2</c:v>
                </c:pt>
                <c:pt idx="230">
                  <c:v>-8.7719298245614086E-2</c:v>
                </c:pt>
                <c:pt idx="231">
                  <c:v>-8.7719298245614086E-2</c:v>
                </c:pt>
                <c:pt idx="232">
                  <c:v>-8.7719298245614086E-2</c:v>
                </c:pt>
                <c:pt idx="233">
                  <c:v>-8.7719298245614086E-2</c:v>
                </c:pt>
                <c:pt idx="234">
                  <c:v>-8.7719298245614086E-2</c:v>
                </c:pt>
                <c:pt idx="235">
                  <c:v>-8.7719298245614086E-2</c:v>
                </c:pt>
                <c:pt idx="236">
                  <c:v>-8.7719298245614086E-2</c:v>
                </c:pt>
                <c:pt idx="237">
                  <c:v>-8.7719298245614086E-2</c:v>
                </c:pt>
                <c:pt idx="238">
                  <c:v>-8.7719298245614086E-2</c:v>
                </c:pt>
                <c:pt idx="239">
                  <c:v>-8.7719298245614086E-2</c:v>
                </c:pt>
                <c:pt idx="240">
                  <c:v>-8.7719298245614086E-2</c:v>
                </c:pt>
                <c:pt idx="241">
                  <c:v>-8.7719298245614086E-2</c:v>
                </c:pt>
                <c:pt idx="242">
                  <c:v>-8.7719298245614086E-2</c:v>
                </c:pt>
                <c:pt idx="243">
                  <c:v>-8.7719298245614086E-2</c:v>
                </c:pt>
                <c:pt idx="244">
                  <c:v>-8.7719298245614086E-2</c:v>
                </c:pt>
                <c:pt idx="245">
                  <c:v>-8.7719298245614086E-2</c:v>
                </c:pt>
                <c:pt idx="246">
                  <c:v>-8.7719298245614086E-2</c:v>
                </c:pt>
                <c:pt idx="247">
                  <c:v>-8.7719298245614086E-2</c:v>
                </c:pt>
                <c:pt idx="248">
                  <c:v>-8.7719298245614086E-2</c:v>
                </c:pt>
                <c:pt idx="249">
                  <c:v>-8.7719298245614086E-2</c:v>
                </c:pt>
                <c:pt idx="250">
                  <c:v>-8.7719298245614086E-2</c:v>
                </c:pt>
                <c:pt idx="251">
                  <c:v>-8.7719298245614086E-2</c:v>
                </c:pt>
                <c:pt idx="252">
                  <c:v>-8.7719298245614086E-2</c:v>
                </c:pt>
                <c:pt idx="253">
                  <c:v>-8.7719298245614086E-2</c:v>
                </c:pt>
                <c:pt idx="254">
                  <c:v>-8.7719298245614086E-2</c:v>
                </c:pt>
                <c:pt idx="255">
                  <c:v>-8.7719298245614086E-2</c:v>
                </c:pt>
                <c:pt idx="256">
                  <c:v>-8.7719298245614086E-2</c:v>
                </c:pt>
                <c:pt idx="257">
                  <c:v>-8.7719298245614086E-2</c:v>
                </c:pt>
                <c:pt idx="258">
                  <c:v>-8.7719298245614086E-2</c:v>
                </c:pt>
                <c:pt idx="259">
                  <c:v>-8.7719298245614086E-2</c:v>
                </c:pt>
                <c:pt idx="260">
                  <c:v>-8.7719298245614086E-2</c:v>
                </c:pt>
                <c:pt idx="261">
                  <c:v>-8.7719298245614086E-2</c:v>
                </c:pt>
                <c:pt idx="262">
                  <c:v>-8.7719298245614086E-2</c:v>
                </c:pt>
                <c:pt idx="263">
                  <c:v>-8.7719298245614086E-2</c:v>
                </c:pt>
                <c:pt idx="264">
                  <c:v>-8.7719298245614086E-2</c:v>
                </c:pt>
                <c:pt idx="265">
                  <c:v>-8.7719298245614086E-2</c:v>
                </c:pt>
                <c:pt idx="266">
                  <c:v>-8.7719298245614086E-2</c:v>
                </c:pt>
                <c:pt idx="267">
                  <c:v>-8.7719298245614086E-2</c:v>
                </c:pt>
                <c:pt idx="268">
                  <c:v>-8.7719298245614086E-2</c:v>
                </c:pt>
                <c:pt idx="269">
                  <c:v>-8.7719298245614086E-2</c:v>
                </c:pt>
                <c:pt idx="270">
                  <c:v>-8.7719298245614086E-2</c:v>
                </c:pt>
                <c:pt idx="271">
                  <c:v>-8.7719298245614086E-2</c:v>
                </c:pt>
                <c:pt idx="272">
                  <c:v>-8.7719298245614086E-2</c:v>
                </c:pt>
                <c:pt idx="273">
                  <c:v>-8.7719298245614086E-2</c:v>
                </c:pt>
                <c:pt idx="274">
                  <c:v>-8.7719298245614086E-2</c:v>
                </c:pt>
                <c:pt idx="275">
                  <c:v>-8.7719298245614086E-2</c:v>
                </c:pt>
                <c:pt idx="276">
                  <c:v>-8.7719298245614086E-2</c:v>
                </c:pt>
                <c:pt idx="277">
                  <c:v>-8.7719298245614086E-2</c:v>
                </c:pt>
                <c:pt idx="278">
                  <c:v>-8.7719298245614086E-2</c:v>
                </c:pt>
                <c:pt idx="279">
                  <c:v>-8.7719298245614086E-2</c:v>
                </c:pt>
                <c:pt idx="280">
                  <c:v>-8.7719298245614086E-2</c:v>
                </c:pt>
                <c:pt idx="281">
                  <c:v>-8.7719298245614086E-2</c:v>
                </c:pt>
                <c:pt idx="282">
                  <c:v>-8.7719298245614086E-2</c:v>
                </c:pt>
                <c:pt idx="283">
                  <c:v>-8.7719298245614086E-2</c:v>
                </c:pt>
                <c:pt idx="284">
                  <c:v>-8.7719298245614086E-2</c:v>
                </c:pt>
                <c:pt idx="285">
                  <c:v>-8.7719298245614086E-2</c:v>
                </c:pt>
                <c:pt idx="286">
                  <c:v>-8.7719298245614086E-2</c:v>
                </c:pt>
                <c:pt idx="287">
                  <c:v>-8.7719298245614086E-2</c:v>
                </c:pt>
                <c:pt idx="288">
                  <c:v>-8.7719298245614086E-2</c:v>
                </c:pt>
                <c:pt idx="289">
                  <c:v>-8.7719298245614086E-2</c:v>
                </c:pt>
                <c:pt idx="290">
                  <c:v>-8.7719298245614086E-2</c:v>
                </c:pt>
                <c:pt idx="291">
                  <c:v>-8.7719298245614086E-2</c:v>
                </c:pt>
                <c:pt idx="292">
                  <c:v>-8.7719298245614086E-2</c:v>
                </c:pt>
                <c:pt idx="293">
                  <c:v>-8.7719298245614086E-2</c:v>
                </c:pt>
                <c:pt idx="294">
                  <c:v>-8.7719298245614086E-2</c:v>
                </c:pt>
                <c:pt idx="295">
                  <c:v>-8.7719298245614086E-2</c:v>
                </c:pt>
                <c:pt idx="296">
                  <c:v>-8.7719298245614086E-2</c:v>
                </c:pt>
                <c:pt idx="297">
                  <c:v>-8.7719298245614086E-2</c:v>
                </c:pt>
                <c:pt idx="298">
                  <c:v>-8.7719298245614086E-2</c:v>
                </c:pt>
                <c:pt idx="299">
                  <c:v>-8.7719298245614086E-2</c:v>
                </c:pt>
                <c:pt idx="300">
                  <c:v>-8.7719298245614086E-2</c:v>
                </c:pt>
                <c:pt idx="301">
                  <c:v>-8.7719298245614086E-2</c:v>
                </c:pt>
                <c:pt idx="302">
                  <c:v>-8.7719298245614086E-2</c:v>
                </c:pt>
                <c:pt idx="303">
                  <c:v>-8.7719298245614086E-2</c:v>
                </c:pt>
                <c:pt idx="304">
                  <c:v>-8.7719298245614086E-2</c:v>
                </c:pt>
                <c:pt idx="305">
                  <c:v>-8.7719298245614086E-2</c:v>
                </c:pt>
                <c:pt idx="306">
                  <c:v>-8.7719298245614086E-2</c:v>
                </c:pt>
                <c:pt idx="307">
                  <c:v>-8.7719298245614086E-2</c:v>
                </c:pt>
                <c:pt idx="308">
                  <c:v>-8.7719298245614086E-2</c:v>
                </c:pt>
                <c:pt idx="309">
                  <c:v>-8.7719298245614086E-2</c:v>
                </c:pt>
                <c:pt idx="310">
                  <c:v>-8.7719298245614086E-2</c:v>
                </c:pt>
                <c:pt idx="311">
                  <c:v>-8.7719298245614086E-2</c:v>
                </c:pt>
                <c:pt idx="312">
                  <c:v>-8.7719298245614086E-2</c:v>
                </c:pt>
                <c:pt idx="313">
                  <c:v>-8.7719298245614086E-2</c:v>
                </c:pt>
                <c:pt idx="314">
                  <c:v>-8.7719298245614086E-2</c:v>
                </c:pt>
                <c:pt idx="315">
                  <c:v>-8.7719298245614086E-2</c:v>
                </c:pt>
                <c:pt idx="316">
                  <c:v>-8.7719298245614086E-2</c:v>
                </c:pt>
                <c:pt idx="317">
                  <c:v>-8.7719298245614086E-2</c:v>
                </c:pt>
                <c:pt idx="318">
                  <c:v>-8.7719298245614086E-2</c:v>
                </c:pt>
                <c:pt idx="319">
                  <c:v>-8.7719298245614086E-2</c:v>
                </c:pt>
                <c:pt idx="320">
                  <c:v>-8.7719298245614086E-2</c:v>
                </c:pt>
                <c:pt idx="321">
                  <c:v>-8.7719298245614086E-2</c:v>
                </c:pt>
                <c:pt idx="322">
                  <c:v>-8.7719298245614086E-2</c:v>
                </c:pt>
                <c:pt idx="323">
                  <c:v>-8.7719298245614086E-2</c:v>
                </c:pt>
                <c:pt idx="324">
                  <c:v>-8.7719298245614086E-2</c:v>
                </c:pt>
                <c:pt idx="325">
                  <c:v>-8.7719298245614086E-2</c:v>
                </c:pt>
                <c:pt idx="326">
                  <c:v>-8.7719298245614086E-2</c:v>
                </c:pt>
                <c:pt idx="327">
                  <c:v>-8.7719298245614086E-2</c:v>
                </c:pt>
                <c:pt idx="328">
                  <c:v>-8.7719298245614086E-2</c:v>
                </c:pt>
                <c:pt idx="329">
                  <c:v>-8.7719298245614086E-2</c:v>
                </c:pt>
                <c:pt idx="330">
                  <c:v>-8.7719298245614086E-2</c:v>
                </c:pt>
                <c:pt idx="331">
                  <c:v>-8.7719298245614086E-2</c:v>
                </c:pt>
                <c:pt idx="332">
                  <c:v>-8.7719298245614086E-2</c:v>
                </c:pt>
                <c:pt idx="333">
                  <c:v>-8.7719298245614086E-2</c:v>
                </c:pt>
                <c:pt idx="334">
                  <c:v>-8.7719298245614086E-2</c:v>
                </c:pt>
                <c:pt idx="335">
                  <c:v>-8.7719298245614086E-2</c:v>
                </c:pt>
                <c:pt idx="336">
                  <c:v>-8.7719298245614086E-2</c:v>
                </c:pt>
                <c:pt idx="337">
                  <c:v>-8.7719298245614086E-2</c:v>
                </c:pt>
                <c:pt idx="338">
                  <c:v>-8.7719298245614086E-2</c:v>
                </c:pt>
                <c:pt idx="339">
                  <c:v>-8.7719298245614086E-2</c:v>
                </c:pt>
                <c:pt idx="340">
                  <c:v>-8.7719298245614086E-2</c:v>
                </c:pt>
                <c:pt idx="341">
                  <c:v>-8.7719298245614086E-2</c:v>
                </c:pt>
                <c:pt idx="342">
                  <c:v>-8.7719298245614086E-2</c:v>
                </c:pt>
                <c:pt idx="343">
                  <c:v>-8.7719298245614086E-2</c:v>
                </c:pt>
                <c:pt idx="344">
                  <c:v>-8.7719298245614086E-2</c:v>
                </c:pt>
                <c:pt idx="345">
                  <c:v>-8.7719298245614086E-2</c:v>
                </c:pt>
                <c:pt idx="346">
                  <c:v>-8.7719298245614086E-2</c:v>
                </c:pt>
                <c:pt idx="347">
                  <c:v>-8.7719298245614086E-2</c:v>
                </c:pt>
                <c:pt idx="348">
                  <c:v>-8.7719298245614086E-2</c:v>
                </c:pt>
                <c:pt idx="349">
                  <c:v>-8.7719298245614086E-2</c:v>
                </c:pt>
                <c:pt idx="350">
                  <c:v>-8.7719298245614086E-2</c:v>
                </c:pt>
                <c:pt idx="351">
                  <c:v>-8.7719298245614086E-2</c:v>
                </c:pt>
                <c:pt idx="352">
                  <c:v>-8.7719298245614086E-2</c:v>
                </c:pt>
                <c:pt idx="353">
                  <c:v>-8.7719298245614086E-2</c:v>
                </c:pt>
                <c:pt idx="354">
                  <c:v>-8.7719298245614086E-2</c:v>
                </c:pt>
                <c:pt idx="355">
                  <c:v>-8.7719298245614086E-2</c:v>
                </c:pt>
                <c:pt idx="356">
                  <c:v>-8.7719298245614086E-2</c:v>
                </c:pt>
                <c:pt idx="357">
                  <c:v>-8.7719298245614086E-2</c:v>
                </c:pt>
                <c:pt idx="358">
                  <c:v>-8.7719298245614086E-2</c:v>
                </c:pt>
                <c:pt idx="359">
                  <c:v>-8.7719298245614086E-2</c:v>
                </c:pt>
                <c:pt idx="360">
                  <c:v>-8.7719298245614086E-2</c:v>
                </c:pt>
                <c:pt idx="361">
                  <c:v>-8.7719298245614086E-2</c:v>
                </c:pt>
                <c:pt idx="362">
                  <c:v>-8.7719298245614086E-2</c:v>
                </c:pt>
                <c:pt idx="363">
                  <c:v>-8.7719298245614086E-2</c:v>
                </c:pt>
                <c:pt idx="364">
                  <c:v>-8.7719298245614086E-2</c:v>
                </c:pt>
                <c:pt idx="365">
                  <c:v>-8.7719298245614086E-2</c:v>
                </c:pt>
                <c:pt idx="366">
                  <c:v>-8.7719298245614086E-2</c:v>
                </c:pt>
                <c:pt idx="367">
                  <c:v>-8.7719298245614086E-2</c:v>
                </c:pt>
                <c:pt idx="368">
                  <c:v>-8.7719298245614086E-2</c:v>
                </c:pt>
                <c:pt idx="369">
                  <c:v>-8.7719298245614086E-2</c:v>
                </c:pt>
                <c:pt idx="370">
                  <c:v>-8.7719298245614086E-2</c:v>
                </c:pt>
                <c:pt idx="371">
                  <c:v>-8.7719298245614086E-2</c:v>
                </c:pt>
                <c:pt idx="372">
                  <c:v>-8.7719298245614086E-2</c:v>
                </c:pt>
                <c:pt idx="373">
                  <c:v>-8.7719298245614086E-2</c:v>
                </c:pt>
                <c:pt idx="374">
                  <c:v>-8.7719298245614086E-2</c:v>
                </c:pt>
                <c:pt idx="375">
                  <c:v>-8.7719298245614086E-2</c:v>
                </c:pt>
                <c:pt idx="376">
                  <c:v>-8.7719298245614086E-2</c:v>
                </c:pt>
                <c:pt idx="377">
                  <c:v>-8.7719298245614086E-2</c:v>
                </c:pt>
                <c:pt idx="378">
                  <c:v>-8.7719298245614086E-2</c:v>
                </c:pt>
                <c:pt idx="379">
                  <c:v>-8.7719298245614086E-2</c:v>
                </c:pt>
                <c:pt idx="380">
                  <c:v>-8.7719298245614086E-2</c:v>
                </c:pt>
                <c:pt idx="381">
                  <c:v>-8.7719298245614086E-2</c:v>
                </c:pt>
                <c:pt idx="382">
                  <c:v>-8.7719298245614086E-2</c:v>
                </c:pt>
                <c:pt idx="383">
                  <c:v>-8.7719298245614086E-2</c:v>
                </c:pt>
                <c:pt idx="384">
                  <c:v>-8.7719298245614086E-2</c:v>
                </c:pt>
                <c:pt idx="385">
                  <c:v>-8.7719298245614086E-2</c:v>
                </c:pt>
                <c:pt idx="386">
                  <c:v>-8.7719298245614086E-2</c:v>
                </c:pt>
                <c:pt idx="387">
                  <c:v>-8.7719298245614086E-2</c:v>
                </c:pt>
                <c:pt idx="388">
                  <c:v>-8.7719298245614086E-2</c:v>
                </c:pt>
                <c:pt idx="389">
                  <c:v>-8.7719298245614086E-2</c:v>
                </c:pt>
                <c:pt idx="390">
                  <c:v>-8.7719298245614086E-2</c:v>
                </c:pt>
                <c:pt idx="391">
                  <c:v>-8.7719298245614086E-2</c:v>
                </c:pt>
                <c:pt idx="392">
                  <c:v>-8.7719298245614086E-2</c:v>
                </c:pt>
                <c:pt idx="393">
                  <c:v>-8.7719298245614086E-2</c:v>
                </c:pt>
                <c:pt idx="394">
                  <c:v>-8.7719298245614086E-2</c:v>
                </c:pt>
                <c:pt idx="395">
                  <c:v>-8.7719298245614086E-2</c:v>
                </c:pt>
                <c:pt idx="396">
                  <c:v>-8.7719298245614086E-2</c:v>
                </c:pt>
                <c:pt idx="397">
                  <c:v>-8.7719298245614086E-2</c:v>
                </c:pt>
                <c:pt idx="398">
                  <c:v>-8.7719298245614086E-2</c:v>
                </c:pt>
                <c:pt idx="399">
                  <c:v>-8.7719298245614086E-2</c:v>
                </c:pt>
                <c:pt idx="400">
                  <c:v>-8.7719298245614086E-2</c:v>
                </c:pt>
                <c:pt idx="401">
                  <c:v>-8.7719298245614086E-2</c:v>
                </c:pt>
                <c:pt idx="402">
                  <c:v>-8.7719298245614086E-2</c:v>
                </c:pt>
                <c:pt idx="403">
                  <c:v>-8.7719298245614086E-2</c:v>
                </c:pt>
                <c:pt idx="404">
                  <c:v>-8.7719298245614086E-2</c:v>
                </c:pt>
                <c:pt idx="405">
                  <c:v>-8.7719298245614086E-2</c:v>
                </c:pt>
                <c:pt idx="406">
                  <c:v>-8.7719298245614086E-2</c:v>
                </c:pt>
                <c:pt idx="407">
                  <c:v>-8.7719298245614086E-2</c:v>
                </c:pt>
                <c:pt idx="408">
                  <c:v>-8.7719298245614086E-2</c:v>
                </c:pt>
                <c:pt idx="409">
                  <c:v>-8.7719298245614086E-2</c:v>
                </c:pt>
                <c:pt idx="410">
                  <c:v>-8.7719298245614086E-2</c:v>
                </c:pt>
                <c:pt idx="411">
                  <c:v>-8.7719298245614086E-2</c:v>
                </c:pt>
                <c:pt idx="412">
                  <c:v>-8.7719298245614086E-2</c:v>
                </c:pt>
                <c:pt idx="413">
                  <c:v>-8.7719298245614086E-2</c:v>
                </c:pt>
                <c:pt idx="414">
                  <c:v>-8.7719298245614086E-2</c:v>
                </c:pt>
                <c:pt idx="415">
                  <c:v>-8.7719298245614086E-2</c:v>
                </c:pt>
                <c:pt idx="416">
                  <c:v>-8.7719298245614086E-2</c:v>
                </c:pt>
                <c:pt idx="417">
                  <c:v>-8.7719298245614086E-2</c:v>
                </c:pt>
                <c:pt idx="418">
                  <c:v>-8.7719298245614086E-2</c:v>
                </c:pt>
                <c:pt idx="419">
                  <c:v>-8.7719298245614086E-2</c:v>
                </c:pt>
                <c:pt idx="420">
                  <c:v>-8.7719298245614086E-2</c:v>
                </c:pt>
                <c:pt idx="421">
                  <c:v>-8.7719298245614086E-2</c:v>
                </c:pt>
                <c:pt idx="422">
                  <c:v>-8.7719298245614086E-2</c:v>
                </c:pt>
                <c:pt idx="423">
                  <c:v>-8.7719298245614086E-2</c:v>
                </c:pt>
                <c:pt idx="424">
                  <c:v>-8.7719298245614086E-2</c:v>
                </c:pt>
                <c:pt idx="425">
                  <c:v>-8.7719298245614086E-2</c:v>
                </c:pt>
                <c:pt idx="426">
                  <c:v>-8.7719298245614086E-2</c:v>
                </c:pt>
                <c:pt idx="427">
                  <c:v>-8.7719298245614086E-2</c:v>
                </c:pt>
                <c:pt idx="428">
                  <c:v>-8.7719298245614086E-2</c:v>
                </c:pt>
                <c:pt idx="429">
                  <c:v>-8.7719298245614086E-2</c:v>
                </c:pt>
                <c:pt idx="430">
                  <c:v>-8.7719298245614086E-2</c:v>
                </c:pt>
                <c:pt idx="431">
                  <c:v>-8.7719298245614086E-2</c:v>
                </c:pt>
                <c:pt idx="432">
                  <c:v>-8.7719298245614086E-2</c:v>
                </c:pt>
                <c:pt idx="433">
                  <c:v>-8.7719298245614086E-2</c:v>
                </c:pt>
                <c:pt idx="434">
                  <c:v>-8.7719298245614086E-2</c:v>
                </c:pt>
                <c:pt idx="435">
                  <c:v>-8.7719298245614086E-2</c:v>
                </c:pt>
                <c:pt idx="436">
                  <c:v>-8.7719298245614086E-2</c:v>
                </c:pt>
                <c:pt idx="437">
                  <c:v>-8.7719298245614086E-2</c:v>
                </c:pt>
                <c:pt idx="438">
                  <c:v>-8.7719298245614086E-2</c:v>
                </c:pt>
                <c:pt idx="439">
                  <c:v>-8.7719298245614086E-2</c:v>
                </c:pt>
                <c:pt idx="440">
                  <c:v>-8.7719298245614086E-2</c:v>
                </c:pt>
                <c:pt idx="441">
                  <c:v>-8.7719298245614086E-2</c:v>
                </c:pt>
                <c:pt idx="442">
                  <c:v>-8.7719298245614086E-2</c:v>
                </c:pt>
                <c:pt idx="443">
                  <c:v>-8.7719298245614086E-2</c:v>
                </c:pt>
                <c:pt idx="444">
                  <c:v>-8.7719298245614086E-2</c:v>
                </c:pt>
                <c:pt idx="445">
                  <c:v>-8.7719298245614086E-2</c:v>
                </c:pt>
                <c:pt idx="446">
                  <c:v>-8.7719298245614086E-2</c:v>
                </c:pt>
                <c:pt idx="447">
                  <c:v>-8.7719298245614086E-2</c:v>
                </c:pt>
                <c:pt idx="448">
                  <c:v>-8.7719298245614086E-2</c:v>
                </c:pt>
                <c:pt idx="449">
                  <c:v>-8.7719298245614086E-2</c:v>
                </c:pt>
                <c:pt idx="450">
                  <c:v>-8.7719298245614086E-2</c:v>
                </c:pt>
                <c:pt idx="451">
                  <c:v>-8.7719298245614086E-2</c:v>
                </c:pt>
                <c:pt idx="452">
                  <c:v>-8.7719298245614086E-2</c:v>
                </c:pt>
                <c:pt idx="453">
                  <c:v>-8.7719298245614086E-2</c:v>
                </c:pt>
                <c:pt idx="454">
                  <c:v>-8.7719298245614086E-2</c:v>
                </c:pt>
                <c:pt idx="455">
                  <c:v>-8.7719298245614086E-2</c:v>
                </c:pt>
                <c:pt idx="456">
                  <c:v>-8.7719298245614086E-2</c:v>
                </c:pt>
                <c:pt idx="457">
                  <c:v>-8.7719298245614086E-2</c:v>
                </c:pt>
                <c:pt idx="458">
                  <c:v>-8.7719298245614086E-2</c:v>
                </c:pt>
                <c:pt idx="459">
                  <c:v>-8.7719298245614086E-2</c:v>
                </c:pt>
                <c:pt idx="460">
                  <c:v>-8.7719298245614086E-2</c:v>
                </c:pt>
                <c:pt idx="461">
                  <c:v>-8.7719298245614086E-2</c:v>
                </c:pt>
                <c:pt idx="462">
                  <c:v>-8.7719298245614086E-2</c:v>
                </c:pt>
                <c:pt idx="463">
                  <c:v>-8.7719298245614086E-2</c:v>
                </c:pt>
                <c:pt idx="464">
                  <c:v>-8.7719298245614086E-2</c:v>
                </c:pt>
                <c:pt idx="465">
                  <c:v>-8.7719298245614086E-2</c:v>
                </c:pt>
                <c:pt idx="466">
                  <c:v>-8.7719298245614086E-2</c:v>
                </c:pt>
                <c:pt idx="467">
                  <c:v>-8.7719298245614086E-2</c:v>
                </c:pt>
                <c:pt idx="468">
                  <c:v>-8.7719298245614086E-2</c:v>
                </c:pt>
                <c:pt idx="469">
                  <c:v>-8.7719298245614086E-2</c:v>
                </c:pt>
                <c:pt idx="470">
                  <c:v>-8.7719298245614086E-2</c:v>
                </c:pt>
                <c:pt idx="471">
                  <c:v>-8.7719298245614086E-2</c:v>
                </c:pt>
                <c:pt idx="472">
                  <c:v>-8.7719298245614086E-2</c:v>
                </c:pt>
                <c:pt idx="473">
                  <c:v>-8.7719298245614086E-2</c:v>
                </c:pt>
                <c:pt idx="474">
                  <c:v>-8.7719298245614086E-2</c:v>
                </c:pt>
                <c:pt idx="475">
                  <c:v>-8.7719298245614086E-2</c:v>
                </c:pt>
                <c:pt idx="476">
                  <c:v>-8.7719298245614086E-2</c:v>
                </c:pt>
                <c:pt idx="477">
                  <c:v>-8.7719298245614086E-2</c:v>
                </c:pt>
                <c:pt idx="478">
                  <c:v>-8.7719298245614086E-2</c:v>
                </c:pt>
                <c:pt idx="479">
                  <c:v>-8.7719298245614086E-2</c:v>
                </c:pt>
                <c:pt idx="480">
                  <c:v>-8.7719298245614086E-2</c:v>
                </c:pt>
                <c:pt idx="481">
                  <c:v>-8.7719298245614086E-2</c:v>
                </c:pt>
                <c:pt idx="482">
                  <c:v>-8.7719298245614086E-2</c:v>
                </c:pt>
                <c:pt idx="483">
                  <c:v>-8.7719298245614086E-2</c:v>
                </c:pt>
                <c:pt idx="484">
                  <c:v>-8.7719298245614086E-2</c:v>
                </c:pt>
                <c:pt idx="485">
                  <c:v>-8.7719298245614086E-2</c:v>
                </c:pt>
                <c:pt idx="486">
                  <c:v>-8.7719298245614086E-2</c:v>
                </c:pt>
                <c:pt idx="487">
                  <c:v>-8.7719298245614086E-2</c:v>
                </c:pt>
                <c:pt idx="488">
                  <c:v>-8.7719298245614086E-2</c:v>
                </c:pt>
                <c:pt idx="489">
                  <c:v>-8.7719298245614086E-2</c:v>
                </c:pt>
                <c:pt idx="490">
                  <c:v>-8.7719298245614086E-2</c:v>
                </c:pt>
                <c:pt idx="491">
                  <c:v>-8.7719298245614086E-2</c:v>
                </c:pt>
                <c:pt idx="492">
                  <c:v>-8.7719298245614086E-2</c:v>
                </c:pt>
                <c:pt idx="493">
                  <c:v>-8.7719298245614086E-2</c:v>
                </c:pt>
                <c:pt idx="494">
                  <c:v>-8.7719298245614086E-2</c:v>
                </c:pt>
                <c:pt idx="495">
                  <c:v>-8.7719298245614086E-2</c:v>
                </c:pt>
                <c:pt idx="496">
                  <c:v>-8.7719298245614086E-2</c:v>
                </c:pt>
                <c:pt idx="497">
                  <c:v>-8.7719298245614086E-2</c:v>
                </c:pt>
                <c:pt idx="498">
                  <c:v>-8.7719298245614086E-2</c:v>
                </c:pt>
                <c:pt idx="499">
                  <c:v>-8.7719298245614086E-2</c:v>
                </c:pt>
                <c:pt idx="500">
                  <c:v>-8.7719298245614086E-2</c:v>
                </c:pt>
                <c:pt idx="501">
                  <c:v>-8.7719298245614086E-2</c:v>
                </c:pt>
                <c:pt idx="502">
                  <c:v>-8.7719298245614086E-2</c:v>
                </c:pt>
                <c:pt idx="503">
                  <c:v>-8.7719298245614086E-2</c:v>
                </c:pt>
                <c:pt idx="504">
                  <c:v>-8.7719298245614086E-2</c:v>
                </c:pt>
                <c:pt idx="505">
                  <c:v>-8.7719298245614086E-2</c:v>
                </c:pt>
                <c:pt idx="506">
                  <c:v>-8.7719298245614086E-2</c:v>
                </c:pt>
                <c:pt idx="507">
                  <c:v>-8.7719298245614086E-2</c:v>
                </c:pt>
                <c:pt idx="508">
                  <c:v>-8.7719298245614086E-2</c:v>
                </c:pt>
                <c:pt idx="509">
                  <c:v>-8.7719298245614086E-2</c:v>
                </c:pt>
                <c:pt idx="510">
                  <c:v>-8.7719298245614086E-2</c:v>
                </c:pt>
                <c:pt idx="511">
                  <c:v>-8.7719298245614086E-2</c:v>
                </c:pt>
                <c:pt idx="512">
                  <c:v>-8.7719298245614086E-2</c:v>
                </c:pt>
              </c:numCache>
            </c:numRef>
          </c:xVal>
          <c:yVal>
            <c:numRef>
              <c:f>tab5bis!$C$2:$C$514</c:f>
              <c:numCache>
                <c:formatCode>0.00</c:formatCode>
                <c:ptCount val="513"/>
                <c:pt idx="0">
                  <c:v>3.7076023391812862</c:v>
                </c:pt>
                <c:pt idx="1">
                  <c:v>1.7076023391812865</c:v>
                </c:pt>
                <c:pt idx="2">
                  <c:v>1.7076023391812865</c:v>
                </c:pt>
                <c:pt idx="3">
                  <c:v>0.70760233918128645</c:v>
                </c:pt>
                <c:pt idx="4">
                  <c:v>1.7076023391812865</c:v>
                </c:pt>
                <c:pt idx="5">
                  <c:v>-0.29239766081871355</c:v>
                </c:pt>
                <c:pt idx="6">
                  <c:v>0.70760233918128645</c:v>
                </c:pt>
                <c:pt idx="7">
                  <c:v>1.7076023391812865</c:v>
                </c:pt>
                <c:pt idx="8">
                  <c:v>6.7076023391812862</c:v>
                </c:pt>
                <c:pt idx="9">
                  <c:v>1.7076023391812865</c:v>
                </c:pt>
                <c:pt idx="10">
                  <c:v>-0.29239766081871355</c:v>
                </c:pt>
                <c:pt idx="11">
                  <c:v>1.7076023391812865</c:v>
                </c:pt>
                <c:pt idx="12">
                  <c:v>0.70760233918128645</c:v>
                </c:pt>
                <c:pt idx="13">
                  <c:v>1.7076023391812865</c:v>
                </c:pt>
                <c:pt idx="14">
                  <c:v>1.7076023391812865</c:v>
                </c:pt>
                <c:pt idx="15">
                  <c:v>0.70760233918128645</c:v>
                </c:pt>
                <c:pt idx="16">
                  <c:v>1.7076023391812865</c:v>
                </c:pt>
                <c:pt idx="17">
                  <c:v>0.70760233918128645</c:v>
                </c:pt>
                <c:pt idx="18">
                  <c:v>1.7076023391812865</c:v>
                </c:pt>
                <c:pt idx="19">
                  <c:v>1.7076023391812865</c:v>
                </c:pt>
                <c:pt idx="20">
                  <c:v>-0.29239766081871355</c:v>
                </c:pt>
                <c:pt idx="21">
                  <c:v>1.7076023391812865</c:v>
                </c:pt>
                <c:pt idx="22">
                  <c:v>0.70760233918128645</c:v>
                </c:pt>
                <c:pt idx="23">
                  <c:v>13.707602339181287</c:v>
                </c:pt>
                <c:pt idx="24">
                  <c:v>-0.29239766081871355</c:v>
                </c:pt>
                <c:pt idx="25">
                  <c:v>0.70760233918128645</c:v>
                </c:pt>
                <c:pt idx="26">
                  <c:v>4.7076023391812862</c:v>
                </c:pt>
                <c:pt idx="27">
                  <c:v>1.7076023391812865</c:v>
                </c:pt>
                <c:pt idx="28">
                  <c:v>0.70760233918128645</c:v>
                </c:pt>
                <c:pt idx="29">
                  <c:v>-0.29239766081871355</c:v>
                </c:pt>
                <c:pt idx="30">
                  <c:v>-0.29239766081871355</c:v>
                </c:pt>
                <c:pt idx="31">
                  <c:v>8.7076023391812871</c:v>
                </c:pt>
                <c:pt idx="32">
                  <c:v>0.70760233918128645</c:v>
                </c:pt>
                <c:pt idx="33">
                  <c:v>-0.29239766081871355</c:v>
                </c:pt>
                <c:pt idx="34">
                  <c:v>0.70760233918128645</c:v>
                </c:pt>
                <c:pt idx="35">
                  <c:v>2.7076023391812862</c:v>
                </c:pt>
                <c:pt idx="36">
                  <c:v>0.70760233918128645</c:v>
                </c:pt>
                <c:pt idx="37">
                  <c:v>-0.29239766081871355</c:v>
                </c:pt>
                <c:pt idx="38">
                  <c:v>-0.29239766081871355</c:v>
                </c:pt>
                <c:pt idx="39">
                  <c:v>-0.29239766081871355</c:v>
                </c:pt>
                <c:pt idx="40">
                  <c:v>-0.29239766081871355</c:v>
                </c:pt>
                <c:pt idx="41">
                  <c:v>0.70760233918128645</c:v>
                </c:pt>
                <c:pt idx="42">
                  <c:v>-0.29239766081871355</c:v>
                </c:pt>
                <c:pt idx="43">
                  <c:v>-0.29239766081871355</c:v>
                </c:pt>
                <c:pt idx="44">
                  <c:v>-0.29239766081871355</c:v>
                </c:pt>
                <c:pt idx="45">
                  <c:v>-0.29239766081871355</c:v>
                </c:pt>
                <c:pt idx="46">
                  <c:v>-0.29239766081871355</c:v>
                </c:pt>
                <c:pt idx="47">
                  <c:v>-0.29239766081871355</c:v>
                </c:pt>
                <c:pt idx="48">
                  <c:v>0.70760233918128645</c:v>
                </c:pt>
                <c:pt idx="49">
                  <c:v>-0.29239766081871355</c:v>
                </c:pt>
                <c:pt idx="50">
                  <c:v>-0.29239766081871355</c:v>
                </c:pt>
                <c:pt idx="51">
                  <c:v>-0.29239766081871355</c:v>
                </c:pt>
                <c:pt idx="52">
                  <c:v>-0.29239766081871355</c:v>
                </c:pt>
                <c:pt idx="53">
                  <c:v>-0.29239766081871355</c:v>
                </c:pt>
                <c:pt idx="54">
                  <c:v>0.70760233918128645</c:v>
                </c:pt>
                <c:pt idx="55">
                  <c:v>-0.29239766081871355</c:v>
                </c:pt>
                <c:pt idx="56">
                  <c:v>-0.29239766081871355</c:v>
                </c:pt>
                <c:pt idx="57">
                  <c:v>-0.29239766081871355</c:v>
                </c:pt>
                <c:pt idx="58">
                  <c:v>-0.29239766081871355</c:v>
                </c:pt>
                <c:pt idx="59">
                  <c:v>-0.29239766081871355</c:v>
                </c:pt>
                <c:pt idx="60">
                  <c:v>-0.29239766081871355</c:v>
                </c:pt>
                <c:pt idx="61">
                  <c:v>-0.29239766081871355</c:v>
                </c:pt>
                <c:pt idx="62">
                  <c:v>-0.29239766081871355</c:v>
                </c:pt>
                <c:pt idx="63">
                  <c:v>-0.29239766081871355</c:v>
                </c:pt>
                <c:pt idx="64">
                  <c:v>-0.29239766081871355</c:v>
                </c:pt>
                <c:pt idx="65">
                  <c:v>-0.29239766081871355</c:v>
                </c:pt>
                <c:pt idx="66">
                  <c:v>-0.29239766081871355</c:v>
                </c:pt>
                <c:pt idx="67">
                  <c:v>-0.29239766081871355</c:v>
                </c:pt>
                <c:pt idx="68">
                  <c:v>-0.29239766081871355</c:v>
                </c:pt>
                <c:pt idx="69">
                  <c:v>-0.29239766081871355</c:v>
                </c:pt>
                <c:pt idx="70">
                  <c:v>-0.29239766081871355</c:v>
                </c:pt>
                <c:pt idx="71">
                  <c:v>-0.29239766081871355</c:v>
                </c:pt>
                <c:pt idx="72">
                  <c:v>-0.29239766081871355</c:v>
                </c:pt>
                <c:pt idx="73">
                  <c:v>-0.29239766081871355</c:v>
                </c:pt>
                <c:pt idx="74">
                  <c:v>-0.29239766081871355</c:v>
                </c:pt>
                <c:pt idx="75">
                  <c:v>0.70760233918128645</c:v>
                </c:pt>
                <c:pt idx="76">
                  <c:v>-0.29239766081871355</c:v>
                </c:pt>
                <c:pt idx="77">
                  <c:v>-0.29239766081871355</c:v>
                </c:pt>
                <c:pt idx="78">
                  <c:v>-0.29239766081871355</c:v>
                </c:pt>
                <c:pt idx="79">
                  <c:v>-0.29239766081871355</c:v>
                </c:pt>
                <c:pt idx="80">
                  <c:v>-0.29239766081871355</c:v>
                </c:pt>
                <c:pt idx="81">
                  <c:v>-0.29239766081871355</c:v>
                </c:pt>
                <c:pt idx="82">
                  <c:v>-0.29239766081871355</c:v>
                </c:pt>
                <c:pt idx="83">
                  <c:v>-0.29239766081871355</c:v>
                </c:pt>
                <c:pt idx="84">
                  <c:v>-0.29239766081871355</c:v>
                </c:pt>
                <c:pt idx="85">
                  <c:v>-0.29239766081871355</c:v>
                </c:pt>
                <c:pt idx="86">
                  <c:v>-0.29239766081871355</c:v>
                </c:pt>
                <c:pt idx="87">
                  <c:v>-0.29239766081871355</c:v>
                </c:pt>
                <c:pt idx="88">
                  <c:v>-0.29239766081871355</c:v>
                </c:pt>
                <c:pt idx="89">
                  <c:v>-0.29239766081871355</c:v>
                </c:pt>
                <c:pt idx="90">
                  <c:v>-0.29239766081871355</c:v>
                </c:pt>
                <c:pt idx="91">
                  <c:v>-0.29239766081871355</c:v>
                </c:pt>
                <c:pt idx="92">
                  <c:v>0.70760233918128645</c:v>
                </c:pt>
                <c:pt idx="93">
                  <c:v>-0.29239766081871355</c:v>
                </c:pt>
                <c:pt idx="94">
                  <c:v>-0.29239766081871355</c:v>
                </c:pt>
                <c:pt idx="95">
                  <c:v>-0.29239766081871355</c:v>
                </c:pt>
                <c:pt idx="96">
                  <c:v>-0.29239766081871355</c:v>
                </c:pt>
                <c:pt idx="97">
                  <c:v>-0.29239766081871355</c:v>
                </c:pt>
                <c:pt idx="98">
                  <c:v>-0.29239766081871355</c:v>
                </c:pt>
                <c:pt idx="99">
                  <c:v>-0.29239766081871355</c:v>
                </c:pt>
                <c:pt idx="100">
                  <c:v>-0.29239766081871355</c:v>
                </c:pt>
                <c:pt idx="101">
                  <c:v>-0.29239766081871355</c:v>
                </c:pt>
                <c:pt idx="102">
                  <c:v>-0.29239766081871355</c:v>
                </c:pt>
                <c:pt idx="103">
                  <c:v>-0.29239766081871355</c:v>
                </c:pt>
                <c:pt idx="104">
                  <c:v>0.70760233918128645</c:v>
                </c:pt>
                <c:pt idx="105">
                  <c:v>-0.29239766081871355</c:v>
                </c:pt>
                <c:pt idx="106">
                  <c:v>-0.29239766081871355</c:v>
                </c:pt>
                <c:pt idx="107">
                  <c:v>-0.29239766081871355</c:v>
                </c:pt>
                <c:pt idx="108">
                  <c:v>-0.29239766081871355</c:v>
                </c:pt>
                <c:pt idx="109">
                  <c:v>-0.29239766081871355</c:v>
                </c:pt>
                <c:pt idx="110">
                  <c:v>-0.29239766081871355</c:v>
                </c:pt>
                <c:pt idx="111">
                  <c:v>-0.29239766081871355</c:v>
                </c:pt>
                <c:pt idx="112">
                  <c:v>1.7076023391812865</c:v>
                </c:pt>
                <c:pt idx="113">
                  <c:v>0.70760233918128645</c:v>
                </c:pt>
                <c:pt idx="114">
                  <c:v>-0.29239766081871355</c:v>
                </c:pt>
                <c:pt idx="115">
                  <c:v>-0.29239766081871355</c:v>
                </c:pt>
                <c:pt idx="116">
                  <c:v>-0.29239766081871355</c:v>
                </c:pt>
                <c:pt idx="117">
                  <c:v>0.70760233918128645</c:v>
                </c:pt>
                <c:pt idx="118">
                  <c:v>-0.29239766081871355</c:v>
                </c:pt>
                <c:pt idx="119">
                  <c:v>-0.29239766081871355</c:v>
                </c:pt>
                <c:pt idx="120">
                  <c:v>-0.29239766081871355</c:v>
                </c:pt>
                <c:pt idx="121">
                  <c:v>-0.29239766081871355</c:v>
                </c:pt>
                <c:pt idx="122">
                  <c:v>-0.29239766081871355</c:v>
                </c:pt>
                <c:pt idx="123">
                  <c:v>1.7076023391812865</c:v>
                </c:pt>
                <c:pt idx="124">
                  <c:v>1.7076023391812865</c:v>
                </c:pt>
                <c:pt idx="125">
                  <c:v>-0.29239766081871355</c:v>
                </c:pt>
                <c:pt idx="126">
                  <c:v>-0.29239766081871355</c:v>
                </c:pt>
                <c:pt idx="127">
                  <c:v>0.70760233918128645</c:v>
                </c:pt>
                <c:pt idx="128">
                  <c:v>-0.29239766081871355</c:v>
                </c:pt>
                <c:pt idx="129">
                  <c:v>-0.29239766081871355</c:v>
                </c:pt>
                <c:pt idx="130">
                  <c:v>-0.29239766081871355</c:v>
                </c:pt>
                <c:pt idx="131">
                  <c:v>-0.29239766081871355</c:v>
                </c:pt>
                <c:pt idx="132">
                  <c:v>-0.29239766081871355</c:v>
                </c:pt>
                <c:pt idx="133">
                  <c:v>-0.29239766081871355</c:v>
                </c:pt>
                <c:pt idx="134">
                  <c:v>-0.29239766081871355</c:v>
                </c:pt>
                <c:pt idx="135">
                  <c:v>-0.29239766081871355</c:v>
                </c:pt>
                <c:pt idx="136">
                  <c:v>-0.29239766081871355</c:v>
                </c:pt>
                <c:pt idx="137">
                  <c:v>-0.29239766081871355</c:v>
                </c:pt>
                <c:pt idx="138">
                  <c:v>-0.29239766081871355</c:v>
                </c:pt>
                <c:pt idx="139">
                  <c:v>-0.29239766081871355</c:v>
                </c:pt>
                <c:pt idx="140">
                  <c:v>0.70760233918128645</c:v>
                </c:pt>
                <c:pt idx="141">
                  <c:v>-0.29239766081871355</c:v>
                </c:pt>
                <c:pt idx="142">
                  <c:v>-0.29239766081871355</c:v>
                </c:pt>
                <c:pt idx="143">
                  <c:v>-0.29239766081871355</c:v>
                </c:pt>
                <c:pt idx="144">
                  <c:v>-0.29239766081871355</c:v>
                </c:pt>
                <c:pt idx="145">
                  <c:v>-0.29239766081871355</c:v>
                </c:pt>
                <c:pt idx="146">
                  <c:v>-0.29239766081871355</c:v>
                </c:pt>
                <c:pt idx="147">
                  <c:v>0.70760233918128645</c:v>
                </c:pt>
                <c:pt idx="148">
                  <c:v>-0.29239766081871355</c:v>
                </c:pt>
                <c:pt idx="149">
                  <c:v>-0.29239766081871355</c:v>
                </c:pt>
                <c:pt idx="150">
                  <c:v>-0.29239766081871355</c:v>
                </c:pt>
                <c:pt idx="151">
                  <c:v>-0.29239766081871355</c:v>
                </c:pt>
                <c:pt idx="152">
                  <c:v>-0.29239766081871355</c:v>
                </c:pt>
                <c:pt idx="153">
                  <c:v>-0.29239766081871355</c:v>
                </c:pt>
                <c:pt idx="154">
                  <c:v>-0.29239766081871355</c:v>
                </c:pt>
                <c:pt idx="155">
                  <c:v>-0.29239766081871355</c:v>
                </c:pt>
                <c:pt idx="156">
                  <c:v>-0.29239766081871355</c:v>
                </c:pt>
                <c:pt idx="157">
                  <c:v>-0.29239766081871355</c:v>
                </c:pt>
                <c:pt idx="158">
                  <c:v>-0.29239766081871355</c:v>
                </c:pt>
                <c:pt idx="159">
                  <c:v>0.70760233918128645</c:v>
                </c:pt>
                <c:pt idx="160">
                  <c:v>-0.29239766081871355</c:v>
                </c:pt>
                <c:pt idx="161">
                  <c:v>-0.29239766081871355</c:v>
                </c:pt>
                <c:pt idx="162">
                  <c:v>-0.29239766081871355</c:v>
                </c:pt>
                <c:pt idx="163">
                  <c:v>-0.29239766081871355</c:v>
                </c:pt>
                <c:pt idx="164">
                  <c:v>-0.29239766081871355</c:v>
                </c:pt>
                <c:pt idx="165">
                  <c:v>-0.29239766081871355</c:v>
                </c:pt>
                <c:pt idx="166">
                  <c:v>-0.29239766081871355</c:v>
                </c:pt>
                <c:pt idx="167">
                  <c:v>-0.29239766081871355</c:v>
                </c:pt>
                <c:pt idx="168">
                  <c:v>-0.29239766081871355</c:v>
                </c:pt>
                <c:pt idx="169">
                  <c:v>-0.29239766081871355</c:v>
                </c:pt>
                <c:pt idx="170">
                  <c:v>-0.29239766081871355</c:v>
                </c:pt>
                <c:pt idx="171">
                  <c:v>-0.29239766081871355</c:v>
                </c:pt>
                <c:pt idx="172">
                  <c:v>-0.29239766081871355</c:v>
                </c:pt>
                <c:pt idx="173">
                  <c:v>-0.29239766081871355</c:v>
                </c:pt>
                <c:pt idx="174">
                  <c:v>0.70760233918128645</c:v>
                </c:pt>
                <c:pt idx="175">
                  <c:v>-0.29239766081871355</c:v>
                </c:pt>
                <c:pt idx="176">
                  <c:v>-0.29239766081871355</c:v>
                </c:pt>
                <c:pt idx="177">
                  <c:v>-0.29239766081871355</c:v>
                </c:pt>
                <c:pt idx="178">
                  <c:v>2.7076023391812862</c:v>
                </c:pt>
                <c:pt idx="179">
                  <c:v>-0.29239766081871355</c:v>
                </c:pt>
                <c:pt idx="180">
                  <c:v>0.70760233918128645</c:v>
                </c:pt>
                <c:pt idx="181">
                  <c:v>-0.29239766081871355</c:v>
                </c:pt>
                <c:pt idx="182">
                  <c:v>-0.29239766081871355</c:v>
                </c:pt>
                <c:pt idx="183">
                  <c:v>-0.29239766081871355</c:v>
                </c:pt>
                <c:pt idx="184">
                  <c:v>-0.29239766081871355</c:v>
                </c:pt>
                <c:pt idx="185">
                  <c:v>-0.29239766081871355</c:v>
                </c:pt>
                <c:pt idx="186">
                  <c:v>3.7076023391812862</c:v>
                </c:pt>
                <c:pt idx="187">
                  <c:v>-0.29239766081871355</c:v>
                </c:pt>
                <c:pt idx="188">
                  <c:v>-0.29239766081871355</c:v>
                </c:pt>
                <c:pt idx="189">
                  <c:v>-0.29239766081871355</c:v>
                </c:pt>
                <c:pt idx="190">
                  <c:v>-0.29239766081871355</c:v>
                </c:pt>
                <c:pt idx="191">
                  <c:v>-0.29239766081871355</c:v>
                </c:pt>
                <c:pt idx="192">
                  <c:v>-0.29239766081871355</c:v>
                </c:pt>
                <c:pt idx="193">
                  <c:v>-0.29239766081871355</c:v>
                </c:pt>
                <c:pt idx="194">
                  <c:v>-0.29239766081871355</c:v>
                </c:pt>
                <c:pt idx="195">
                  <c:v>-0.29239766081871355</c:v>
                </c:pt>
                <c:pt idx="196">
                  <c:v>-0.29239766081871355</c:v>
                </c:pt>
                <c:pt idx="197">
                  <c:v>-0.29239766081871355</c:v>
                </c:pt>
                <c:pt idx="198">
                  <c:v>-0.29239766081871355</c:v>
                </c:pt>
                <c:pt idx="199">
                  <c:v>-0.29239766081871355</c:v>
                </c:pt>
                <c:pt idx="200">
                  <c:v>-0.29239766081871355</c:v>
                </c:pt>
                <c:pt idx="201">
                  <c:v>-0.29239766081871355</c:v>
                </c:pt>
                <c:pt idx="202">
                  <c:v>8.7076023391812871</c:v>
                </c:pt>
                <c:pt idx="203">
                  <c:v>-0.29239766081871355</c:v>
                </c:pt>
                <c:pt idx="204">
                  <c:v>-0.29239766081871355</c:v>
                </c:pt>
                <c:pt idx="205">
                  <c:v>-0.29239766081871355</c:v>
                </c:pt>
                <c:pt idx="206">
                  <c:v>0.70760233918128645</c:v>
                </c:pt>
                <c:pt idx="207">
                  <c:v>-0.29239766081871355</c:v>
                </c:pt>
                <c:pt idx="208">
                  <c:v>-0.29239766081871355</c:v>
                </c:pt>
                <c:pt idx="209">
                  <c:v>-0.29239766081871355</c:v>
                </c:pt>
                <c:pt idx="210">
                  <c:v>-0.29239766081871355</c:v>
                </c:pt>
                <c:pt idx="211">
                  <c:v>-0.29239766081871355</c:v>
                </c:pt>
                <c:pt idx="212">
                  <c:v>-0.29239766081871355</c:v>
                </c:pt>
                <c:pt idx="213">
                  <c:v>-0.29239766081871355</c:v>
                </c:pt>
                <c:pt idx="214">
                  <c:v>-0.29239766081871355</c:v>
                </c:pt>
                <c:pt idx="215">
                  <c:v>-0.29239766081871355</c:v>
                </c:pt>
                <c:pt idx="216">
                  <c:v>-0.29239766081871355</c:v>
                </c:pt>
                <c:pt idx="217">
                  <c:v>-0.29239766081871355</c:v>
                </c:pt>
                <c:pt idx="218">
                  <c:v>-0.29239766081871355</c:v>
                </c:pt>
                <c:pt idx="219">
                  <c:v>-0.29239766081871355</c:v>
                </c:pt>
                <c:pt idx="220">
                  <c:v>-0.29239766081871355</c:v>
                </c:pt>
                <c:pt idx="221">
                  <c:v>-0.29239766081871355</c:v>
                </c:pt>
                <c:pt idx="222">
                  <c:v>-0.29239766081871355</c:v>
                </c:pt>
                <c:pt idx="223">
                  <c:v>-0.29239766081871355</c:v>
                </c:pt>
                <c:pt idx="224">
                  <c:v>-0.29239766081871355</c:v>
                </c:pt>
                <c:pt idx="225">
                  <c:v>-0.29239766081871355</c:v>
                </c:pt>
                <c:pt idx="226">
                  <c:v>-0.29239766081871355</c:v>
                </c:pt>
                <c:pt idx="227">
                  <c:v>-0.29239766081871355</c:v>
                </c:pt>
                <c:pt idx="228">
                  <c:v>-0.29239766081871355</c:v>
                </c:pt>
                <c:pt idx="229">
                  <c:v>-0.29239766081871355</c:v>
                </c:pt>
                <c:pt idx="230">
                  <c:v>-0.29239766081871355</c:v>
                </c:pt>
                <c:pt idx="231">
                  <c:v>0.70760233918128645</c:v>
                </c:pt>
                <c:pt idx="232">
                  <c:v>-0.29239766081871355</c:v>
                </c:pt>
                <c:pt idx="233">
                  <c:v>-0.29239766081871355</c:v>
                </c:pt>
                <c:pt idx="234">
                  <c:v>-0.29239766081871355</c:v>
                </c:pt>
                <c:pt idx="235">
                  <c:v>-0.29239766081871355</c:v>
                </c:pt>
                <c:pt idx="236">
                  <c:v>-0.29239766081871355</c:v>
                </c:pt>
                <c:pt idx="237">
                  <c:v>-0.29239766081871355</c:v>
                </c:pt>
                <c:pt idx="238">
                  <c:v>-0.29239766081871355</c:v>
                </c:pt>
                <c:pt idx="239">
                  <c:v>-0.29239766081871355</c:v>
                </c:pt>
                <c:pt idx="240">
                  <c:v>-0.29239766081871355</c:v>
                </c:pt>
                <c:pt idx="241">
                  <c:v>-0.29239766081871355</c:v>
                </c:pt>
                <c:pt idx="242">
                  <c:v>-0.29239766081871355</c:v>
                </c:pt>
                <c:pt idx="243">
                  <c:v>-0.29239766081871355</c:v>
                </c:pt>
                <c:pt idx="244">
                  <c:v>-0.29239766081871355</c:v>
                </c:pt>
                <c:pt idx="245">
                  <c:v>1.7076023391812865</c:v>
                </c:pt>
                <c:pt idx="246">
                  <c:v>4.7076023391812862</c:v>
                </c:pt>
                <c:pt idx="247">
                  <c:v>-0.29239766081871355</c:v>
                </c:pt>
                <c:pt idx="248">
                  <c:v>-0.29239766081871355</c:v>
                </c:pt>
                <c:pt idx="249">
                  <c:v>-0.29239766081871355</c:v>
                </c:pt>
                <c:pt idx="250">
                  <c:v>-0.29239766081871355</c:v>
                </c:pt>
                <c:pt idx="251">
                  <c:v>-0.29239766081871355</c:v>
                </c:pt>
                <c:pt idx="252">
                  <c:v>-0.29239766081871355</c:v>
                </c:pt>
                <c:pt idx="253">
                  <c:v>-0.29239766081871355</c:v>
                </c:pt>
                <c:pt idx="254">
                  <c:v>-0.29239766081871355</c:v>
                </c:pt>
                <c:pt idx="255">
                  <c:v>-0.29239766081871355</c:v>
                </c:pt>
                <c:pt idx="256">
                  <c:v>-0.29239766081871355</c:v>
                </c:pt>
                <c:pt idx="257">
                  <c:v>-0.29239766081871355</c:v>
                </c:pt>
                <c:pt idx="258">
                  <c:v>-0.29239766081871355</c:v>
                </c:pt>
                <c:pt idx="259">
                  <c:v>-0.29239766081871355</c:v>
                </c:pt>
                <c:pt idx="260">
                  <c:v>-0.29239766081871355</c:v>
                </c:pt>
                <c:pt idx="261">
                  <c:v>-0.29239766081871355</c:v>
                </c:pt>
                <c:pt idx="262">
                  <c:v>-0.29239766081871355</c:v>
                </c:pt>
                <c:pt idx="263">
                  <c:v>-0.29239766081871355</c:v>
                </c:pt>
                <c:pt idx="264">
                  <c:v>-0.29239766081871355</c:v>
                </c:pt>
                <c:pt idx="265">
                  <c:v>-0.29239766081871355</c:v>
                </c:pt>
                <c:pt idx="266">
                  <c:v>-0.29239766081871355</c:v>
                </c:pt>
                <c:pt idx="267">
                  <c:v>-0.29239766081871355</c:v>
                </c:pt>
                <c:pt idx="268">
                  <c:v>-0.29239766081871355</c:v>
                </c:pt>
                <c:pt idx="269">
                  <c:v>-0.29239766081871355</c:v>
                </c:pt>
                <c:pt idx="270">
                  <c:v>-0.29239766081871355</c:v>
                </c:pt>
                <c:pt idx="271">
                  <c:v>-0.29239766081871355</c:v>
                </c:pt>
                <c:pt idx="272">
                  <c:v>-0.29239766081871355</c:v>
                </c:pt>
                <c:pt idx="273">
                  <c:v>-0.29239766081871355</c:v>
                </c:pt>
                <c:pt idx="274">
                  <c:v>-0.29239766081871355</c:v>
                </c:pt>
                <c:pt idx="275">
                  <c:v>-0.29239766081871355</c:v>
                </c:pt>
                <c:pt idx="276">
                  <c:v>-0.29239766081871355</c:v>
                </c:pt>
                <c:pt idx="277">
                  <c:v>-0.29239766081871355</c:v>
                </c:pt>
                <c:pt idx="278">
                  <c:v>-0.29239766081871355</c:v>
                </c:pt>
                <c:pt idx="279">
                  <c:v>-0.29239766081871355</c:v>
                </c:pt>
                <c:pt idx="280">
                  <c:v>-0.29239766081871355</c:v>
                </c:pt>
                <c:pt idx="281">
                  <c:v>-0.29239766081871355</c:v>
                </c:pt>
                <c:pt idx="282">
                  <c:v>-0.29239766081871355</c:v>
                </c:pt>
                <c:pt idx="283">
                  <c:v>-0.29239766081871355</c:v>
                </c:pt>
                <c:pt idx="284">
                  <c:v>-0.29239766081871355</c:v>
                </c:pt>
                <c:pt idx="285">
                  <c:v>-0.29239766081871355</c:v>
                </c:pt>
                <c:pt idx="286">
                  <c:v>-0.29239766081871355</c:v>
                </c:pt>
                <c:pt idx="287">
                  <c:v>-0.29239766081871355</c:v>
                </c:pt>
                <c:pt idx="288">
                  <c:v>1.7076023391812865</c:v>
                </c:pt>
                <c:pt idx="289">
                  <c:v>-0.29239766081871355</c:v>
                </c:pt>
                <c:pt idx="290">
                  <c:v>-0.29239766081871355</c:v>
                </c:pt>
                <c:pt idx="291">
                  <c:v>-0.29239766081871355</c:v>
                </c:pt>
                <c:pt idx="292">
                  <c:v>-0.29239766081871355</c:v>
                </c:pt>
                <c:pt idx="293">
                  <c:v>-0.29239766081871355</c:v>
                </c:pt>
                <c:pt idx="294">
                  <c:v>-0.29239766081871355</c:v>
                </c:pt>
                <c:pt idx="295">
                  <c:v>-0.29239766081871355</c:v>
                </c:pt>
                <c:pt idx="296">
                  <c:v>-0.29239766081871355</c:v>
                </c:pt>
                <c:pt idx="297">
                  <c:v>0.70760233918128645</c:v>
                </c:pt>
                <c:pt idx="298">
                  <c:v>-0.29239766081871355</c:v>
                </c:pt>
                <c:pt idx="299">
                  <c:v>-0.29239766081871355</c:v>
                </c:pt>
                <c:pt idx="300">
                  <c:v>-0.29239766081871355</c:v>
                </c:pt>
                <c:pt idx="301">
                  <c:v>-0.29239766081871355</c:v>
                </c:pt>
                <c:pt idx="302">
                  <c:v>-0.29239766081871355</c:v>
                </c:pt>
                <c:pt idx="303">
                  <c:v>-0.29239766081871355</c:v>
                </c:pt>
                <c:pt idx="304">
                  <c:v>-0.29239766081871355</c:v>
                </c:pt>
                <c:pt idx="305">
                  <c:v>-0.29239766081871355</c:v>
                </c:pt>
                <c:pt idx="306">
                  <c:v>-0.29239766081871355</c:v>
                </c:pt>
                <c:pt idx="307">
                  <c:v>-0.29239766081871355</c:v>
                </c:pt>
                <c:pt idx="308">
                  <c:v>-0.29239766081871355</c:v>
                </c:pt>
                <c:pt idx="309">
                  <c:v>-0.29239766081871355</c:v>
                </c:pt>
                <c:pt idx="310">
                  <c:v>-0.29239766081871355</c:v>
                </c:pt>
                <c:pt idx="311">
                  <c:v>-0.29239766081871355</c:v>
                </c:pt>
                <c:pt idx="312">
                  <c:v>-0.29239766081871355</c:v>
                </c:pt>
                <c:pt idx="313">
                  <c:v>-0.29239766081871355</c:v>
                </c:pt>
                <c:pt idx="314">
                  <c:v>-0.29239766081871355</c:v>
                </c:pt>
                <c:pt idx="315">
                  <c:v>-0.29239766081871355</c:v>
                </c:pt>
                <c:pt idx="316">
                  <c:v>-0.29239766081871355</c:v>
                </c:pt>
                <c:pt idx="317">
                  <c:v>-0.29239766081871355</c:v>
                </c:pt>
                <c:pt idx="318">
                  <c:v>-0.29239766081871355</c:v>
                </c:pt>
                <c:pt idx="319">
                  <c:v>-0.29239766081871355</c:v>
                </c:pt>
                <c:pt idx="320">
                  <c:v>-0.29239766081871355</c:v>
                </c:pt>
                <c:pt idx="321">
                  <c:v>-0.29239766081871355</c:v>
                </c:pt>
                <c:pt idx="322">
                  <c:v>-0.29239766081871355</c:v>
                </c:pt>
                <c:pt idx="323">
                  <c:v>-0.29239766081871355</c:v>
                </c:pt>
                <c:pt idx="324">
                  <c:v>-0.29239766081871355</c:v>
                </c:pt>
                <c:pt idx="325">
                  <c:v>-0.29239766081871355</c:v>
                </c:pt>
                <c:pt idx="326">
                  <c:v>-0.29239766081871355</c:v>
                </c:pt>
                <c:pt idx="327">
                  <c:v>-0.29239766081871355</c:v>
                </c:pt>
                <c:pt idx="328">
                  <c:v>-0.29239766081871355</c:v>
                </c:pt>
                <c:pt idx="329">
                  <c:v>-0.29239766081871355</c:v>
                </c:pt>
                <c:pt idx="330">
                  <c:v>-0.29239766081871355</c:v>
                </c:pt>
                <c:pt idx="331">
                  <c:v>-0.29239766081871355</c:v>
                </c:pt>
                <c:pt idx="332">
                  <c:v>-0.29239766081871355</c:v>
                </c:pt>
                <c:pt idx="333">
                  <c:v>-0.29239766081871355</c:v>
                </c:pt>
                <c:pt idx="334">
                  <c:v>-0.29239766081871355</c:v>
                </c:pt>
                <c:pt idx="335">
                  <c:v>-0.29239766081871355</c:v>
                </c:pt>
                <c:pt idx="336">
                  <c:v>-0.29239766081871355</c:v>
                </c:pt>
                <c:pt idx="337">
                  <c:v>-0.29239766081871355</c:v>
                </c:pt>
                <c:pt idx="338">
                  <c:v>-0.29239766081871355</c:v>
                </c:pt>
                <c:pt idx="339">
                  <c:v>-0.29239766081871355</c:v>
                </c:pt>
                <c:pt idx="340">
                  <c:v>-0.29239766081871355</c:v>
                </c:pt>
                <c:pt idx="341">
                  <c:v>-0.29239766081871355</c:v>
                </c:pt>
                <c:pt idx="342">
                  <c:v>-0.29239766081871355</c:v>
                </c:pt>
                <c:pt idx="343">
                  <c:v>-0.29239766081871355</c:v>
                </c:pt>
                <c:pt idx="344">
                  <c:v>-0.29239766081871355</c:v>
                </c:pt>
                <c:pt idx="345">
                  <c:v>-0.29239766081871355</c:v>
                </c:pt>
                <c:pt idx="346">
                  <c:v>-0.29239766081871355</c:v>
                </c:pt>
                <c:pt idx="347">
                  <c:v>-0.29239766081871355</c:v>
                </c:pt>
                <c:pt idx="348">
                  <c:v>-0.29239766081871355</c:v>
                </c:pt>
                <c:pt idx="349">
                  <c:v>-0.29239766081871355</c:v>
                </c:pt>
                <c:pt idx="350">
                  <c:v>-0.29239766081871355</c:v>
                </c:pt>
                <c:pt idx="351">
                  <c:v>0.70760233918128645</c:v>
                </c:pt>
                <c:pt idx="352">
                  <c:v>-0.29239766081871355</c:v>
                </c:pt>
                <c:pt idx="353">
                  <c:v>-0.29239766081871355</c:v>
                </c:pt>
                <c:pt idx="354">
                  <c:v>-0.29239766081871355</c:v>
                </c:pt>
                <c:pt idx="355">
                  <c:v>-0.29239766081871355</c:v>
                </c:pt>
                <c:pt idx="356">
                  <c:v>-0.29239766081871355</c:v>
                </c:pt>
                <c:pt idx="357">
                  <c:v>-0.29239766081871355</c:v>
                </c:pt>
                <c:pt idx="358">
                  <c:v>-0.29239766081871355</c:v>
                </c:pt>
                <c:pt idx="359">
                  <c:v>-0.29239766081871355</c:v>
                </c:pt>
                <c:pt idx="360">
                  <c:v>-0.29239766081871355</c:v>
                </c:pt>
                <c:pt idx="361">
                  <c:v>-0.29239766081871355</c:v>
                </c:pt>
                <c:pt idx="362">
                  <c:v>-0.29239766081871355</c:v>
                </c:pt>
                <c:pt idx="363">
                  <c:v>-0.29239766081871355</c:v>
                </c:pt>
                <c:pt idx="364">
                  <c:v>-0.29239766081871355</c:v>
                </c:pt>
                <c:pt idx="365">
                  <c:v>-0.29239766081871355</c:v>
                </c:pt>
                <c:pt idx="366">
                  <c:v>-0.29239766081871355</c:v>
                </c:pt>
                <c:pt idx="367">
                  <c:v>-0.29239766081871355</c:v>
                </c:pt>
                <c:pt idx="368">
                  <c:v>-0.29239766081871355</c:v>
                </c:pt>
                <c:pt idx="369">
                  <c:v>-0.29239766081871355</c:v>
                </c:pt>
                <c:pt idx="370">
                  <c:v>-0.29239766081871355</c:v>
                </c:pt>
                <c:pt idx="371">
                  <c:v>-0.29239766081871355</c:v>
                </c:pt>
                <c:pt idx="372">
                  <c:v>1.7076023391812865</c:v>
                </c:pt>
                <c:pt idx="373">
                  <c:v>-0.29239766081871355</c:v>
                </c:pt>
                <c:pt idx="374">
                  <c:v>-0.29239766081871355</c:v>
                </c:pt>
                <c:pt idx="375">
                  <c:v>1.7076023391812865</c:v>
                </c:pt>
                <c:pt idx="376">
                  <c:v>-0.29239766081871355</c:v>
                </c:pt>
                <c:pt idx="377">
                  <c:v>-0.29239766081871355</c:v>
                </c:pt>
                <c:pt idx="378">
                  <c:v>-0.29239766081871355</c:v>
                </c:pt>
                <c:pt idx="379">
                  <c:v>-0.29239766081871355</c:v>
                </c:pt>
                <c:pt idx="380">
                  <c:v>-0.29239766081871355</c:v>
                </c:pt>
                <c:pt idx="381">
                  <c:v>-0.29239766081871355</c:v>
                </c:pt>
                <c:pt idx="382">
                  <c:v>-0.29239766081871355</c:v>
                </c:pt>
                <c:pt idx="383">
                  <c:v>-0.29239766081871355</c:v>
                </c:pt>
                <c:pt idx="384">
                  <c:v>0.70760233918128645</c:v>
                </c:pt>
                <c:pt idx="385">
                  <c:v>-0.29239766081871355</c:v>
                </c:pt>
                <c:pt idx="386">
                  <c:v>3.7076023391812862</c:v>
                </c:pt>
                <c:pt idx="387">
                  <c:v>-0.29239766081871355</c:v>
                </c:pt>
                <c:pt idx="388">
                  <c:v>1.7076023391812865</c:v>
                </c:pt>
                <c:pt idx="389">
                  <c:v>-0.29239766081871355</c:v>
                </c:pt>
                <c:pt idx="390">
                  <c:v>-0.29239766081871355</c:v>
                </c:pt>
                <c:pt idx="391">
                  <c:v>-0.29239766081871355</c:v>
                </c:pt>
                <c:pt idx="392">
                  <c:v>-0.29239766081871355</c:v>
                </c:pt>
                <c:pt idx="393">
                  <c:v>0.70760233918128645</c:v>
                </c:pt>
                <c:pt idx="394">
                  <c:v>-0.29239766081871355</c:v>
                </c:pt>
                <c:pt idx="395">
                  <c:v>-0.29239766081871355</c:v>
                </c:pt>
                <c:pt idx="396">
                  <c:v>-0.29239766081871355</c:v>
                </c:pt>
                <c:pt idx="397">
                  <c:v>-0.29239766081871355</c:v>
                </c:pt>
                <c:pt idx="398">
                  <c:v>-0.29239766081871355</c:v>
                </c:pt>
                <c:pt idx="399">
                  <c:v>-0.29239766081871355</c:v>
                </c:pt>
                <c:pt idx="400">
                  <c:v>-0.29239766081871355</c:v>
                </c:pt>
                <c:pt idx="401">
                  <c:v>-0.29239766081871355</c:v>
                </c:pt>
                <c:pt idx="402">
                  <c:v>-0.29239766081871355</c:v>
                </c:pt>
                <c:pt idx="403">
                  <c:v>-0.29239766081871355</c:v>
                </c:pt>
                <c:pt idx="404">
                  <c:v>-0.29239766081871355</c:v>
                </c:pt>
                <c:pt idx="405">
                  <c:v>-0.29239766081871355</c:v>
                </c:pt>
                <c:pt idx="406">
                  <c:v>-0.29239766081871355</c:v>
                </c:pt>
                <c:pt idx="407">
                  <c:v>5.7076023391812862</c:v>
                </c:pt>
                <c:pt idx="408">
                  <c:v>0.70760233918128645</c:v>
                </c:pt>
                <c:pt idx="409">
                  <c:v>-0.29239766081871355</c:v>
                </c:pt>
                <c:pt idx="410">
                  <c:v>-0.29239766081871355</c:v>
                </c:pt>
                <c:pt idx="411">
                  <c:v>-0.29239766081871355</c:v>
                </c:pt>
                <c:pt idx="412">
                  <c:v>-0.29239766081871355</c:v>
                </c:pt>
                <c:pt idx="413">
                  <c:v>-0.29239766081871355</c:v>
                </c:pt>
                <c:pt idx="414">
                  <c:v>-0.29239766081871355</c:v>
                </c:pt>
                <c:pt idx="415">
                  <c:v>-0.29239766081871355</c:v>
                </c:pt>
                <c:pt idx="416">
                  <c:v>-0.29239766081871355</c:v>
                </c:pt>
                <c:pt idx="417">
                  <c:v>-0.29239766081871355</c:v>
                </c:pt>
                <c:pt idx="418">
                  <c:v>-0.29239766081871355</c:v>
                </c:pt>
                <c:pt idx="419">
                  <c:v>-0.29239766081871355</c:v>
                </c:pt>
                <c:pt idx="420">
                  <c:v>-0.29239766081871355</c:v>
                </c:pt>
                <c:pt idx="421">
                  <c:v>-0.29239766081871355</c:v>
                </c:pt>
                <c:pt idx="422">
                  <c:v>0.70760233918128645</c:v>
                </c:pt>
                <c:pt idx="423">
                  <c:v>-0.29239766081871355</c:v>
                </c:pt>
                <c:pt idx="424">
                  <c:v>-0.29239766081871355</c:v>
                </c:pt>
                <c:pt idx="425">
                  <c:v>-0.29239766081871355</c:v>
                </c:pt>
                <c:pt idx="426">
                  <c:v>-0.29239766081871355</c:v>
                </c:pt>
                <c:pt idx="427">
                  <c:v>-0.29239766081871355</c:v>
                </c:pt>
                <c:pt idx="428">
                  <c:v>-0.29239766081871355</c:v>
                </c:pt>
                <c:pt idx="429">
                  <c:v>-0.29239766081871355</c:v>
                </c:pt>
                <c:pt idx="430">
                  <c:v>-0.29239766081871355</c:v>
                </c:pt>
                <c:pt idx="431">
                  <c:v>-0.29239766081871355</c:v>
                </c:pt>
                <c:pt idx="432">
                  <c:v>-0.29239766081871355</c:v>
                </c:pt>
                <c:pt idx="433">
                  <c:v>-0.29239766081871355</c:v>
                </c:pt>
                <c:pt idx="434">
                  <c:v>-0.29239766081871355</c:v>
                </c:pt>
                <c:pt idx="435">
                  <c:v>-0.29239766081871355</c:v>
                </c:pt>
                <c:pt idx="436">
                  <c:v>-0.29239766081871355</c:v>
                </c:pt>
                <c:pt idx="437">
                  <c:v>-0.29239766081871355</c:v>
                </c:pt>
                <c:pt idx="438">
                  <c:v>-0.29239766081871355</c:v>
                </c:pt>
                <c:pt idx="439">
                  <c:v>-0.29239766081871355</c:v>
                </c:pt>
                <c:pt idx="440">
                  <c:v>-0.29239766081871355</c:v>
                </c:pt>
                <c:pt idx="441">
                  <c:v>-0.29239766081871355</c:v>
                </c:pt>
                <c:pt idx="442">
                  <c:v>-0.29239766081871355</c:v>
                </c:pt>
                <c:pt idx="443">
                  <c:v>-0.29239766081871355</c:v>
                </c:pt>
                <c:pt idx="444">
                  <c:v>-0.29239766081871355</c:v>
                </c:pt>
                <c:pt idx="445">
                  <c:v>-0.29239766081871355</c:v>
                </c:pt>
                <c:pt idx="446">
                  <c:v>-0.29239766081871355</c:v>
                </c:pt>
                <c:pt idx="447">
                  <c:v>-0.29239766081871355</c:v>
                </c:pt>
                <c:pt idx="448">
                  <c:v>-0.29239766081871355</c:v>
                </c:pt>
                <c:pt idx="449">
                  <c:v>-0.29239766081871355</c:v>
                </c:pt>
                <c:pt idx="450">
                  <c:v>0.70760233918128645</c:v>
                </c:pt>
                <c:pt idx="451">
                  <c:v>-0.29239766081871355</c:v>
                </c:pt>
                <c:pt idx="452">
                  <c:v>0.70760233918128645</c:v>
                </c:pt>
                <c:pt idx="453">
                  <c:v>-0.29239766081871355</c:v>
                </c:pt>
                <c:pt idx="454">
                  <c:v>-0.29239766081871355</c:v>
                </c:pt>
                <c:pt idx="455">
                  <c:v>-0.29239766081871355</c:v>
                </c:pt>
                <c:pt idx="456">
                  <c:v>-0.29239766081871355</c:v>
                </c:pt>
                <c:pt idx="457">
                  <c:v>-0.29239766081871355</c:v>
                </c:pt>
                <c:pt idx="458">
                  <c:v>-0.29239766081871355</c:v>
                </c:pt>
                <c:pt idx="459">
                  <c:v>-0.29239766081871355</c:v>
                </c:pt>
                <c:pt idx="460">
                  <c:v>-0.29239766081871355</c:v>
                </c:pt>
                <c:pt idx="461">
                  <c:v>-0.29239766081871355</c:v>
                </c:pt>
                <c:pt idx="462">
                  <c:v>-0.29239766081871355</c:v>
                </c:pt>
                <c:pt idx="463">
                  <c:v>-0.29239766081871355</c:v>
                </c:pt>
                <c:pt idx="464">
                  <c:v>-0.29239766081871355</c:v>
                </c:pt>
                <c:pt idx="465">
                  <c:v>-0.29239766081871355</c:v>
                </c:pt>
                <c:pt idx="466">
                  <c:v>-0.29239766081871355</c:v>
                </c:pt>
                <c:pt idx="467">
                  <c:v>-0.29239766081871355</c:v>
                </c:pt>
                <c:pt idx="468">
                  <c:v>-0.29239766081871355</c:v>
                </c:pt>
                <c:pt idx="469">
                  <c:v>-0.29239766081871355</c:v>
                </c:pt>
                <c:pt idx="470">
                  <c:v>-0.29239766081871355</c:v>
                </c:pt>
                <c:pt idx="471">
                  <c:v>-0.29239766081871355</c:v>
                </c:pt>
                <c:pt idx="472">
                  <c:v>-0.29239766081871355</c:v>
                </c:pt>
                <c:pt idx="473">
                  <c:v>-0.29239766081871355</c:v>
                </c:pt>
                <c:pt idx="474">
                  <c:v>-0.29239766081871355</c:v>
                </c:pt>
                <c:pt idx="475">
                  <c:v>-0.29239766081871355</c:v>
                </c:pt>
                <c:pt idx="476">
                  <c:v>-0.29239766081871355</c:v>
                </c:pt>
                <c:pt idx="477">
                  <c:v>-0.29239766081871355</c:v>
                </c:pt>
                <c:pt idx="478">
                  <c:v>-0.29239766081871355</c:v>
                </c:pt>
                <c:pt idx="479">
                  <c:v>-0.29239766081871355</c:v>
                </c:pt>
                <c:pt idx="480">
                  <c:v>-0.29239766081871355</c:v>
                </c:pt>
                <c:pt idx="481">
                  <c:v>-0.29239766081871355</c:v>
                </c:pt>
                <c:pt idx="482">
                  <c:v>-0.29239766081871355</c:v>
                </c:pt>
                <c:pt idx="483">
                  <c:v>-0.29239766081871355</c:v>
                </c:pt>
                <c:pt idx="484">
                  <c:v>-0.29239766081871355</c:v>
                </c:pt>
                <c:pt idx="485">
                  <c:v>-0.29239766081871355</c:v>
                </c:pt>
                <c:pt idx="486">
                  <c:v>-0.29239766081871355</c:v>
                </c:pt>
                <c:pt idx="487">
                  <c:v>-0.29239766081871355</c:v>
                </c:pt>
                <c:pt idx="488">
                  <c:v>-0.29239766081871355</c:v>
                </c:pt>
                <c:pt idx="489">
                  <c:v>-0.29239766081871355</c:v>
                </c:pt>
                <c:pt idx="490">
                  <c:v>-0.29239766081871355</c:v>
                </c:pt>
                <c:pt idx="491">
                  <c:v>-0.29239766081871355</c:v>
                </c:pt>
                <c:pt idx="492">
                  <c:v>-0.29239766081871355</c:v>
                </c:pt>
                <c:pt idx="493">
                  <c:v>-0.29239766081871355</c:v>
                </c:pt>
                <c:pt idx="494">
                  <c:v>-0.29239766081871355</c:v>
                </c:pt>
                <c:pt idx="495">
                  <c:v>-0.29239766081871355</c:v>
                </c:pt>
                <c:pt idx="496">
                  <c:v>-0.29239766081871355</c:v>
                </c:pt>
                <c:pt idx="497">
                  <c:v>-0.29239766081871355</c:v>
                </c:pt>
                <c:pt idx="498">
                  <c:v>-0.29239766081871355</c:v>
                </c:pt>
                <c:pt idx="499">
                  <c:v>-0.29239766081871355</c:v>
                </c:pt>
                <c:pt idx="500">
                  <c:v>-0.29239766081871355</c:v>
                </c:pt>
                <c:pt idx="501">
                  <c:v>-0.29239766081871355</c:v>
                </c:pt>
                <c:pt idx="502">
                  <c:v>-0.29239766081871355</c:v>
                </c:pt>
                <c:pt idx="503">
                  <c:v>-0.29239766081871355</c:v>
                </c:pt>
                <c:pt idx="504">
                  <c:v>-0.29239766081871355</c:v>
                </c:pt>
                <c:pt idx="505">
                  <c:v>-0.29239766081871355</c:v>
                </c:pt>
                <c:pt idx="506">
                  <c:v>-0.29239766081871355</c:v>
                </c:pt>
                <c:pt idx="507">
                  <c:v>-0.29239766081871355</c:v>
                </c:pt>
                <c:pt idx="508">
                  <c:v>-0.29239766081871355</c:v>
                </c:pt>
                <c:pt idx="509">
                  <c:v>-0.29239766081871355</c:v>
                </c:pt>
                <c:pt idx="510">
                  <c:v>-0.29239766081871355</c:v>
                </c:pt>
                <c:pt idx="511">
                  <c:v>-0.29239766081871355</c:v>
                </c:pt>
                <c:pt idx="512">
                  <c:v>-0.29239766081871355</c:v>
                </c:pt>
              </c:numCache>
            </c:numRef>
          </c:yVal>
          <c:smooth val="0"/>
        </c:ser>
        <c:dLbls>
          <c:showLegendKey val="0"/>
          <c:showVal val="0"/>
          <c:showCatName val="0"/>
          <c:showSerName val="0"/>
          <c:showPercent val="0"/>
          <c:showBubbleSize val="0"/>
        </c:dLbls>
        <c:axId val="654402464"/>
        <c:axId val="654389952"/>
      </c:scatterChart>
      <c:valAx>
        <c:axId val="654402464"/>
        <c:scaling>
          <c:orientation val="minMax"/>
          <c:max val="14"/>
          <c:min val="-2"/>
        </c:scaling>
        <c:delete val="0"/>
        <c:axPos val="b"/>
        <c:title>
          <c:tx>
            <c:rich>
              <a:bodyPr/>
              <a:lstStyle/>
              <a:p>
                <a:pPr>
                  <a:defRPr/>
                </a:pPr>
                <a:r>
                  <a:rPr lang="it-IT"/>
                  <a:t>Sector spread</a:t>
                </a:r>
              </a:p>
            </c:rich>
          </c:tx>
          <c:overlay val="0"/>
        </c:title>
        <c:numFmt formatCode="0.00" sourceLinked="1"/>
        <c:majorTickMark val="out"/>
        <c:minorTickMark val="none"/>
        <c:tickLblPos val="nextTo"/>
        <c:crossAx val="654389952"/>
        <c:crossesAt val="0"/>
        <c:crossBetween val="midCat"/>
        <c:majorUnit val="2"/>
        <c:minorUnit val="2"/>
      </c:valAx>
      <c:valAx>
        <c:axId val="654389952"/>
        <c:scaling>
          <c:orientation val="minMax"/>
          <c:max val="14"/>
          <c:min val="-2"/>
        </c:scaling>
        <c:delete val="0"/>
        <c:axPos val="l"/>
        <c:title>
          <c:tx>
            <c:rich>
              <a:bodyPr rot="-5400000" vert="horz"/>
              <a:lstStyle/>
              <a:p>
                <a:pPr>
                  <a:defRPr/>
                </a:pPr>
                <a:r>
                  <a:rPr lang="it-IT"/>
                  <a:t>Geographical spread</a:t>
                </a:r>
              </a:p>
            </c:rich>
          </c:tx>
          <c:overlay val="0"/>
        </c:title>
        <c:numFmt formatCode="0.00" sourceLinked="1"/>
        <c:majorTickMark val="out"/>
        <c:minorTickMark val="none"/>
        <c:tickLblPos val="nextTo"/>
        <c:crossAx val="654402464"/>
        <c:crossesAt val="0"/>
        <c:crossBetween val="midCat"/>
        <c:majorUnit val="2"/>
        <c:minorUnit val="2"/>
      </c:valAx>
    </c:plotArea>
    <c:plotVisOnly val="1"/>
    <c:dispBlanksAs val="gap"/>
    <c:showDLblsOverMax val="0"/>
  </c:chart>
  <c:txPr>
    <a:bodyPr/>
    <a:lstStyle/>
    <a:p>
      <a:pPr>
        <a:defRPr sz="800"/>
      </a:pPr>
      <a:endParaRPr lang="da-D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5.7242922395198265E-2"/>
          <c:y val="4.3938486119432796E-2"/>
          <c:w val="0.91375249944456782"/>
          <c:h val="0.8611342545632964"/>
        </c:manualLayout>
      </c:layout>
      <c:scatterChart>
        <c:scatterStyle val="lineMarker"/>
        <c:varyColors val="0"/>
        <c:ser>
          <c:idx val="0"/>
          <c:order val="0"/>
          <c:tx>
            <c:v>Indian BGs</c:v>
          </c:tx>
          <c:spPr>
            <a:ln w="47625">
              <a:noFill/>
            </a:ln>
          </c:spPr>
          <c:xVal>
            <c:numLit>
              <c:formatCode>General</c:formatCode>
              <c:ptCount val="449"/>
              <c:pt idx="0">
                <c:v>0.75055679287305099</c:v>
              </c:pt>
              <c:pt idx="1">
                <c:v>-0.24944320712694901</c:v>
              </c:pt>
              <c:pt idx="2">
                <c:v>-0.24944320712694901</c:v>
              </c:pt>
              <c:pt idx="3">
                <c:v>0.75055679287305099</c:v>
              </c:pt>
              <c:pt idx="4">
                <c:v>-0.24944320712694901</c:v>
              </c:pt>
              <c:pt idx="5">
                <c:v>-0.24944320712694901</c:v>
              </c:pt>
              <c:pt idx="6">
                <c:v>-0.24944320712694901</c:v>
              </c:pt>
              <c:pt idx="7">
                <c:v>-0.24944320712694901</c:v>
              </c:pt>
              <c:pt idx="8">
                <c:v>-0.24944320712694901</c:v>
              </c:pt>
              <c:pt idx="9">
                <c:v>-0.24944320712694901</c:v>
              </c:pt>
              <c:pt idx="10">
                <c:v>0.75055679287305099</c:v>
              </c:pt>
              <c:pt idx="11">
                <c:v>-0.24944320712694901</c:v>
              </c:pt>
              <c:pt idx="12">
                <c:v>-0.24944320712694901</c:v>
              </c:pt>
              <c:pt idx="13">
                <c:v>-0.24944320712694901</c:v>
              </c:pt>
              <c:pt idx="14">
                <c:v>-0.24944320712694901</c:v>
              </c:pt>
              <c:pt idx="15">
                <c:v>1.750556792873051</c:v>
              </c:pt>
              <c:pt idx="16">
                <c:v>0.75055679287305099</c:v>
              </c:pt>
              <c:pt idx="17">
                <c:v>-0.24944320712694901</c:v>
              </c:pt>
              <c:pt idx="18">
                <c:v>-0.24944320712694901</c:v>
              </c:pt>
              <c:pt idx="19">
                <c:v>-0.24944320712694901</c:v>
              </c:pt>
              <c:pt idx="20">
                <c:v>-0.24944320712694901</c:v>
              </c:pt>
              <c:pt idx="21">
                <c:v>-0.24944320712694901</c:v>
              </c:pt>
              <c:pt idx="22">
                <c:v>0.75055679287305099</c:v>
              </c:pt>
              <c:pt idx="23">
                <c:v>-0.24944320712694901</c:v>
              </c:pt>
              <c:pt idx="24">
                <c:v>0.75055679287305099</c:v>
              </c:pt>
              <c:pt idx="25">
                <c:v>-0.24944320712694901</c:v>
              </c:pt>
              <c:pt idx="26">
                <c:v>-0.24944320712694901</c:v>
              </c:pt>
              <c:pt idx="27">
                <c:v>-0.24944320712694901</c:v>
              </c:pt>
              <c:pt idx="28">
                <c:v>-0.24944320712694901</c:v>
              </c:pt>
              <c:pt idx="29">
                <c:v>-0.24944320712694901</c:v>
              </c:pt>
              <c:pt idx="30">
                <c:v>-0.24944320712694901</c:v>
              </c:pt>
              <c:pt idx="31">
                <c:v>-0.24944320712694901</c:v>
              </c:pt>
              <c:pt idx="32">
                <c:v>2.7505567928730512</c:v>
              </c:pt>
              <c:pt idx="33">
                <c:v>0.75055679287305099</c:v>
              </c:pt>
              <c:pt idx="34">
                <c:v>-0.24944320712694901</c:v>
              </c:pt>
              <c:pt idx="35">
                <c:v>-0.24944320712694901</c:v>
              </c:pt>
              <c:pt idx="36">
                <c:v>-0.24944320712694901</c:v>
              </c:pt>
              <c:pt idx="37">
                <c:v>-0.24944320712694901</c:v>
              </c:pt>
              <c:pt idx="38">
                <c:v>-0.24944320712694901</c:v>
              </c:pt>
              <c:pt idx="39">
                <c:v>-0.24944320712694901</c:v>
              </c:pt>
              <c:pt idx="40">
                <c:v>-0.24944320712694901</c:v>
              </c:pt>
              <c:pt idx="41">
                <c:v>-0.24944320712694901</c:v>
              </c:pt>
              <c:pt idx="42">
                <c:v>-0.24944320712694901</c:v>
              </c:pt>
              <c:pt idx="43">
                <c:v>-0.24944320712694901</c:v>
              </c:pt>
              <c:pt idx="44">
                <c:v>-0.24944320712694901</c:v>
              </c:pt>
              <c:pt idx="45">
                <c:v>-0.24944320712694901</c:v>
              </c:pt>
              <c:pt idx="46">
                <c:v>-0.24944320712694901</c:v>
              </c:pt>
              <c:pt idx="47">
                <c:v>-0.24944320712694901</c:v>
              </c:pt>
              <c:pt idx="48">
                <c:v>-0.24944320712694901</c:v>
              </c:pt>
              <c:pt idx="49">
                <c:v>-0.24944320712694901</c:v>
              </c:pt>
              <c:pt idx="50">
                <c:v>-0.24944320712694901</c:v>
              </c:pt>
              <c:pt idx="51">
                <c:v>-0.24944320712694901</c:v>
              </c:pt>
              <c:pt idx="52">
                <c:v>-0.24944320712694901</c:v>
              </c:pt>
              <c:pt idx="53">
                <c:v>-0.24944320712694901</c:v>
              </c:pt>
              <c:pt idx="54">
                <c:v>-0.24944320712694901</c:v>
              </c:pt>
              <c:pt idx="55">
                <c:v>0.75055679287305099</c:v>
              </c:pt>
              <c:pt idx="56">
                <c:v>-0.24944320712694901</c:v>
              </c:pt>
              <c:pt idx="57">
                <c:v>-0.24944320712694901</c:v>
              </c:pt>
              <c:pt idx="58">
                <c:v>0.75055679287305099</c:v>
              </c:pt>
              <c:pt idx="59">
                <c:v>-0.24944320712694901</c:v>
              </c:pt>
              <c:pt idx="60">
                <c:v>-0.24944320712694901</c:v>
              </c:pt>
              <c:pt idx="61">
                <c:v>1.750556792873051</c:v>
              </c:pt>
              <c:pt idx="62">
                <c:v>-0.24944320712694901</c:v>
              </c:pt>
              <c:pt idx="63">
                <c:v>-0.24944320712694901</c:v>
              </c:pt>
              <c:pt idx="64">
                <c:v>-0.24944320712694901</c:v>
              </c:pt>
              <c:pt idx="65">
                <c:v>-0.24944320712694901</c:v>
              </c:pt>
              <c:pt idx="66">
                <c:v>0.75055679287305099</c:v>
              </c:pt>
              <c:pt idx="67">
                <c:v>-0.24944320712694901</c:v>
              </c:pt>
              <c:pt idx="68">
                <c:v>-0.24944320712694901</c:v>
              </c:pt>
              <c:pt idx="69">
                <c:v>-0.24944320712694901</c:v>
              </c:pt>
              <c:pt idx="70">
                <c:v>-0.24944320712694901</c:v>
              </c:pt>
              <c:pt idx="71">
                <c:v>-0.24944320712694901</c:v>
              </c:pt>
              <c:pt idx="72">
                <c:v>-0.24944320712694901</c:v>
              </c:pt>
              <c:pt idx="73">
                <c:v>1.750556792873051</c:v>
              </c:pt>
              <c:pt idx="74">
                <c:v>0.75055679287305099</c:v>
              </c:pt>
              <c:pt idx="75">
                <c:v>-0.24944320712694901</c:v>
              </c:pt>
              <c:pt idx="76">
                <c:v>-0.24944320712694901</c:v>
              </c:pt>
              <c:pt idx="77">
                <c:v>-0.24944320712694901</c:v>
              </c:pt>
              <c:pt idx="78">
                <c:v>-0.24944320712694901</c:v>
              </c:pt>
              <c:pt idx="79">
                <c:v>-0.24944320712694901</c:v>
              </c:pt>
              <c:pt idx="80">
                <c:v>-0.24944320712694901</c:v>
              </c:pt>
              <c:pt idx="81">
                <c:v>-0.24944320712694901</c:v>
              </c:pt>
              <c:pt idx="82">
                <c:v>-0.24944320712694901</c:v>
              </c:pt>
              <c:pt idx="83">
                <c:v>-0.24944320712694901</c:v>
              </c:pt>
              <c:pt idx="84">
                <c:v>-0.24944320712694901</c:v>
              </c:pt>
              <c:pt idx="85">
                <c:v>-0.24944320712694901</c:v>
              </c:pt>
              <c:pt idx="86">
                <c:v>-0.24944320712694901</c:v>
              </c:pt>
              <c:pt idx="87">
                <c:v>-0.24944320712694901</c:v>
              </c:pt>
              <c:pt idx="88">
                <c:v>-0.24944320712694901</c:v>
              </c:pt>
              <c:pt idx="89">
                <c:v>-0.24944320712694901</c:v>
              </c:pt>
              <c:pt idx="90">
                <c:v>-0.24944320712694901</c:v>
              </c:pt>
              <c:pt idx="91">
                <c:v>-0.24944320712694901</c:v>
              </c:pt>
              <c:pt idx="92">
                <c:v>-0.24944320712694901</c:v>
              </c:pt>
              <c:pt idx="93">
                <c:v>-0.24944320712694901</c:v>
              </c:pt>
              <c:pt idx="94">
                <c:v>-0.24944320712694901</c:v>
              </c:pt>
              <c:pt idx="95">
                <c:v>2.7505567928730512</c:v>
              </c:pt>
              <c:pt idx="96">
                <c:v>-0.24944320712694901</c:v>
              </c:pt>
              <c:pt idx="97">
                <c:v>0.75055679287305099</c:v>
              </c:pt>
              <c:pt idx="98">
                <c:v>-0.24944320712694901</c:v>
              </c:pt>
              <c:pt idx="99">
                <c:v>-0.24944320712694901</c:v>
              </c:pt>
              <c:pt idx="100">
                <c:v>-0.24944320712694901</c:v>
              </c:pt>
              <c:pt idx="101">
                <c:v>1.750556792873051</c:v>
              </c:pt>
              <c:pt idx="102">
                <c:v>0.75055679287305099</c:v>
              </c:pt>
              <c:pt idx="103">
                <c:v>-0.24944320712694901</c:v>
              </c:pt>
              <c:pt idx="104">
                <c:v>-0.24944320712694901</c:v>
              </c:pt>
              <c:pt idx="105">
                <c:v>-0.24944320712694901</c:v>
              </c:pt>
              <c:pt idx="106">
                <c:v>0.75055679287305099</c:v>
              </c:pt>
              <c:pt idx="107">
                <c:v>-0.24944320712694901</c:v>
              </c:pt>
              <c:pt idx="108">
                <c:v>-0.24944320712694901</c:v>
              </c:pt>
              <c:pt idx="109">
                <c:v>-0.24944320712694901</c:v>
              </c:pt>
              <c:pt idx="110">
                <c:v>-0.24944320712694901</c:v>
              </c:pt>
              <c:pt idx="111">
                <c:v>-0.24944320712694901</c:v>
              </c:pt>
              <c:pt idx="112">
                <c:v>-0.24944320712694901</c:v>
              </c:pt>
              <c:pt idx="113">
                <c:v>-0.24944320712694901</c:v>
              </c:pt>
              <c:pt idx="114">
                <c:v>-0.24944320712694901</c:v>
              </c:pt>
              <c:pt idx="115">
                <c:v>-0.24944320712694901</c:v>
              </c:pt>
              <c:pt idx="116">
                <c:v>-0.24944320712694901</c:v>
              </c:pt>
              <c:pt idx="117">
                <c:v>-0.24944320712694901</c:v>
              </c:pt>
              <c:pt idx="118">
                <c:v>-0.24944320712694901</c:v>
              </c:pt>
              <c:pt idx="119">
                <c:v>-0.24944320712694901</c:v>
              </c:pt>
              <c:pt idx="120">
                <c:v>-0.24944320712694901</c:v>
              </c:pt>
              <c:pt idx="121">
                <c:v>-0.24944320712694901</c:v>
              </c:pt>
              <c:pt idx="122">
                <c:v>-0.24944320712694901</c:v>
              </c:pt>
              <c:pt idx="123">
                <c:v>0.75055679287305099</c:v>
              </c:pt>
              <c:pt idx="124">
                <c:v>-0.24944320712694901</c:v>
              </c:pt>
              <c:pt idx="125">
                <c:v>0.75055679287305099</c:v>
              </c:pt>
              <c:pt idx="126">
                <c:v>-0.24944320712694901</c:v>
              </c:pt>
              <c:pt idx="127">
                <c:v>-0.24944320712694901</c:v>
              </c:pt>
              <c:pt idx="128">
                <c:v>-0.24944320712694901</c:v>
              </c:pt>
              <c:pt idx="129">
                <c:v>-0.24944320712694901</c:v>
              </c:pt>
              <c:pt idx="130">
                <c:v>-0.24944320712694901</c:v>
              </c:pt>
              <c:pt idx="131">
                <c:v>-0.24944320712694901</c:v>
              </c:pt>
              <c:pt idx="132">
                <c:v>-0.24944320712694901</c:v>
              </c:pt>
              <c:pt idx="133">
                <c:v>-0.24944320712694901</c:v>
              </c:pt>
              <c:pt idx="134">
                <c:v>-0.24944320712694901</c:v>
              </c:pt>
              <c:pt idx="135">
                <c:v>-0.24944320712694901</c:v>
              </c:pt>
              <c:pt idx="136">
                <c:v>-0.24944320712694901</c:v>
              </c:pt>
              <c:pt idx="137">
                <c:v>-0.24944320712694901</c:v>
              </c:pt>
              <c:pt idx="138">
                <c:v>-0.24944320712694901</c:v>
              </c:pt>
              <c:pt idx="139">
                <c:v>-0.24944320712694901</c:v>
              </c:pt>
              <c:pt idx="140">
                <c:v>-0.24944320712694901</c:v>
              </c:pt>
              <c:pt idx="141">
                <c:v>-0.24944320712694901</c:v>
              </c:pt>
              <c:pt idx="142">
                <c:v>2.7505567928730512</c:v>
              </c:pt>
              <c:pt idx="143">
                <c:v>-0.24944320712694901</c:v>
              </c:pt>
              <c:pt idx="144">
                <c:v>-0.24944320712694901</c:v>
              </c:pt>
              <c:pt idx="145">
                <c:v>0.75055679287305099</c:v>
              </c:pt>
              <c:pt idx="146">
                <c:v>-0.24944320712694901</c:v>
              </c:pt>
              <c:pt idx="147">
                <c:v>-0.24944320712694901</c:v>
              </c:pt>
              <c:pt idx="148">
                <c:v>-0.24944320712694901</c:v>
              </c:pt>
              <c:pt idx="149">
                <c:v>-0.24944320712694901</c:v>
              </c:pt>
              <c:pt idx="150">
                <c:v>-0.24944320712694901</c:v>
              </c:pt>
              <c:pt idx="151">
                <c:v>-0.24944320712694901</c:v>
              </c:pt>
              <c:pt idx="152">
                <c:v>6.7505567928730512</c:v>
              </c:pt>
              <c:pt idx="153">
                <c:v>-0.24944320712694901</c:v>
              </c:pt>
              <c:pt idx="154">
                <c:v>0.75055679287305099</c:v>
              </c:pt>
              <c:pt idx="155">
                <c:v>-0.24944320712694901</c:v>
              </c:pt>
              <c:pt idx="156">
                <c:v>-0.24944320712694901</c:v>
              </c:pt>
              <c:pt idx="157">
                <c:v>-0.24944320712694901</c:v>
              </c:pt>
              <c:pt idx="158">
                <c:v>3.7505567928730512</c:v>
              </c:pt>
              <c:pt idx="159">
                <c:v>-0.24944320712694901</c:v>
              </c:pt>
              <c:pt idx="160">
                <c:v>-0.24944320712694901</c:v>
              </c:pt>
              <c:pt idx="161">
                <c:v>-0.24944320712694901</c:v>
              </c:pt>
              <c:pt idx="162">
                <c:v>0.75055679287305099</c:v>
              </c:pt>
              <c:pt idx="163">
                <c:v>-0.24944320712694901</c:v>
              </c:pt>
              <c:pt idx="164">
                <c:v>-0.24944320712694901</c:v>
              </c:pt>
              <c:pt idx="165">
                <c:v>1.750556792873051</c:v>
              </c:pt>
              <c:pt idx="166">
                <c:v>1.750556792873051</c:v>
              </c:pt>
              <c:pt idx="167">
                <c:v>0.75055679287305099</c:v>
              </c:pt>
              <c:pt idx="168">
                <c:v>-0.24944320712694901</c:v>
              </c:pt>
              <c:pt idx="169">
                <c:v>-0.24944320712694901</c:v>
              </c:pt>
              <c:pt idx="170">
                <c:v>-0.24944320712694901</c:v>
              </c:pt>
              <c:pt idx="171">
                <c:v>-0.24944320712694901</c:v>
              </c:pt>
              <c:pt idx="172">
                <c:v>-0.24944320712694901</c:v>
              </c:pt>
              <c:pt idx="173">
                <c:v>-0.24944320712694901</c:v>
              </c:pt>
              <c:pt idx="174">
                <c:v>-0.24944320712694901</c:v>
              </c:pt>
              <c:pt idx="175">
                <c:v>0.75055679287305099</c:v>
              </c:pt>
              <c:pt idx="176">
                <c:v>-0.24944320712694901</c:v>
              </c:pt>
              <c:pt idx="177">
                <c:v>-0.24944320712694901</c:v>
              </c:pt>
              <c:pt idx="178">
                <c:v>0.75055679287305099</c:v>
              </c:pt>
              <c:pt idx="179">
                <c:v>-0.24944320712694901</c:v>
              </c:pt>
              <c:pt idx="180">
                <c:v>-0.24944320712694901</c:v>
              </c:pt>
              <c:pt idx="181">
                <c:v>0.75055679287305099</c:v>
              </c:pt>
              <c:pt idx="182">
                <c:v>-0.24944320712694901</c:v>
              </c:pt>
              <c:pt idx="183">
                <c:v>-0.24944320712694901</c:v>
              </c:pt>
              <c:pt idx="184">
                <c:v>-0.24944320712694901</c:v>
              </c:pt>
              <c:pt idx="185">
                <c:v>8.7505567928730521</c:v>
              </c:pt>
              <c:pt idx="186">
                <c:v>-0.24944320712694901</c:v>
              </c:pt>
              <c:pt idx="187">
                <c:v>-0.24944320712694901</c:v>
              </c:pt>
              <c:pt idx="188">
                <c:v>-0.24944320712694901</c:v>
              </c:pt>
              <c:pt idx="189">
                <c:v>-0.24944320712694901</c:v>
              </c:pt>
              <c:pt idx="190">
                <c:v>-0.24944320712694901</c:v>
              </c:pt>
              <c:pt idx="191">
                <c:v>0.75055679287305099</c:v>
              </c:pt>
              <c:pt idx="192">
                <c:v>-0.24944320712694901</c:v>
              </c:pt>
              <c:pt idx="193">
                <c:v>-0.24944320712694901</c:v>
              </c:pt>
              <c:pt idx="194">
                <c:v>-0.24944320712694901</c:v>
              </c:pt>
              <c:pt idx="195">
                <c:v>-0.24944320712694901</c:v>
              </c:pt>
              <c:pt idx="196">
                <c:v>-0.24944320712694901</c:v>
              </c:pt>
              <c:pt idx="197">
                <c:v>-0.24944320712694901</c:v>
              </c:pt>
              <c:pt idx="198">
                <c:v>-0.24944320712694901</c:v>
              </c:pt>
              <c:pt idx="199">
                <c:v>-0.24944320712694901</c:v>
              </c:pt>
              <c:pt idx="200">
                <c:v>-0.24944320712694901</c:v>
              </c:pt>
              <c:pt idx="201">
                <c:v>-0.24944320712694901</c:v>
              </c:pt>
              <c:pt idx="202">
                <c:v>-0.24944320712694901</c:v>
              </c:pt>
              <c:pt idx="203">
                <c:v>0.75055679287305099</c:v>
              </c:pt>
              <c:pt idx="204">
                <c:v>-0.24944320712694901</c:v>
              </c:pt>
              <c:pt idx="205">
                <c:v>-0.24944320712694901</c:v>
              </c:pt>
              <c:pt idx="206">
                <c:v>-0.24944320712694901</c:v>
              </c:pt>
              <c:pt idx="207">
                <c:v>-0.24944320712694901</c:v>
              </c:pt>
              <c:pt idx="208">
                <c:v>-0.24944320712694901</c:v>
              </c:pt>
              <c:pt idx="209">
                <c:v>-0.24944320712694901</c:v>
              </c:pt>
              <c:pt idx="210">
                <c:v>-0.24944320712694901</c:v>
              </c:pt>
              <c:pt idx="211">
                <c:v>-0.24944320712694901</c:v>
              </c:pt>
              <c:pt idx="212">
                <c:v>-0.24944320712694901</c:v>
              </c:pt>
              <c:pt idx="213">
                <c:v>-0.24944320712694901</c:v>
              </c:pt>
              <c:pt idx="214">
                <c:v>-0.24944320712694901</c:v>
              </c:pt>
              <c:pt idx="215">
                <c:v>-0.24944320712694901</c:v>
              </c:pt>
              <c:pt idx="216">
                <c:v>11.75055679287305</c:v>
              </c:pt>
              <c:pt idx="217">
                <c:v>-0.24944320712694901</c:v>
              </c:pt>
              <c:pt idx="218">
                <c:v>-0.24944320712694901</c:v>
              </c:pt>
              <c:pt idx="219">
                <c:v>1.750556792873051</c:v>
              </c:pt>
              <c:pt idx="220">
                <c:v>-0.24944320712694901</c:v>
              </c:pt>
              <c:pt idx="221">
                <c:v>-0.24944320712694901</c:v>
              </c:pt>
              <c:pt idx="222">
                <c:v>-0.24944320712694901</c:v>
              </c:pt>
              <c:pt idx="223">
                <c:v>-0.24944320712694901</c:v>
              </c:pt>
              <c:pt idx="224">
                <c:v>0.75055679287305099</c:v>
              </c:pt>
              <c:pt idx="225">
                <c:v>-0.24944320712694901</c:v>
              </c:pt>
              <c:pt idx="226">
                <c:v>-0.24944320712694901</c:v>
              </c:pt>
              <c:pt idx="227">
                <c:v>1.750556792873051</c:v>
              </c:pt>
              <c:pt idx="228">
                <c:v>-0.24944320712694901</c:v>
              </c:pt>
              <c:pt idx="229">
                <c:v>-0.24944320712694901</c:v>
              </c:pt>
              <c:pt idx="230">
                <c:v>-0.24944320712694901</c:v>
              </c:pt>
              <c:pt idx="231">
                <c:v>-0.24944320712694901</c:v>
              </c:pt>
              <c:pt idx="232">
                <c:v>-0.24944320712694901</c:v>
              </c:pt>
              <c:pt idx="233">
                <c:v>-0.24944320712694901</c:v>
              </c:pt>
              <c:pt idx="234">
                <c:v>-0.24944320712694901</c:v>
              </c:pt>
              <c:pt idx="235">
                <c:v>0.75055679287305099</c:v>
              </c:pt>
              <c:pt idx="236">
                <c:v>-0.24944320712694901</c:v>
              </c:pt>
              <c:pt idx="237">
                <c:v>-0.24944320712694901</c:v>
              </c:pt>
              <c:pt idx="238">
                <c:v>-0.24944320712694901</c:v>
              </c:pt>
              <c:pt idx="239">
                <c:v>-0.24944320712694901</c:v>
              </c:pt>
              <c:pt idx="240">
                <c:v>-0.24944320712694901</c:v>
              </c:pt>
              <c:pt idx="241">
                <c:v>0.75055679287305099</c:v>
              </c:pt>
              <c:pt idx="242">
                <c:v>-0.24944320712694901</c:v>
              </c:pt>
              <c:pt idx="243">
                <c:v>-0.24944320712694901</c:v>
              </c:pt>
              <c:pt idx="244">
                <c:v>-0.24944320712694901</c:v>
              </c:pt>
              <c:pt idx="245">
                <c:v>-0.24944320712694901</c:v>
              </c:pt>
              <c:pt idx="246">
                <c:v>-0.24944320712694901</c:v>
              </c:pt>
              <c:pt idx="247">
                <c:v>1.750556792873051</c:v>
              </c:pt>
              <c:pt idx="248">
                <c:v>0.75055679287305099</c:v>
              </c:pt>
              <c:pt idx="249">
                <c:v>-0.24944320712694901</c:v>
              </c:pt>
              <c:pt idx="250">
                <c:v>-0.24944320712694901</c:v>
              </c:pt>
              <c:pt idx="251">
                <c:v>-0.24944320712694901</c:v>
              </c:pt>
              <c:pt idx="252">
                <c:v>-0.24944320712694901</c:v>
              </c:pt>
              <c:pt idx="253">
                <c:v>-0.24944320712694901</c:v>
              </c:pt>
              <c:pt idx="254">
                <c:v>-0.24944320712694901</c:v>
              </c:pt>
              <c:pt idx="255">
                <c:v>-0.24944320712694901</c:v>
              </c:pt>
              <c:pt idx="256">
                <c:v>-0.24944320712694901</c:v>
              </c:pt>
              <c:pt idx="257">
                <c:v>-0.24944320712694901</c:v>
              </c:pt>
              <c:pt idx="258">
                <c:v>-0.24944320712694901</c:v>
              </c:pt>
              <c:pt idx="259">
                <c:v>-0.24944320712694901</c:v>
              </c:pt>
              <c:pt idx="260">
                <c:v>-0.24944320712694901</c:v>
              </c:pt>
              <c:pt idx="261">
                <c:v>0.75055679287305099</c:v>
              </c:pt>
              <c:pt idx="262">
                <c:v>0.75055679287305099</c:v>
              </c:pt>
              <c:pt idx="263">
                <c:v>-0.24944320712694901</c:v>
              </c:pt>
              <c:pt idx="264">
                <c:v>-0.24944320712694901</c:v>
              </c:pt>
              <c:pt idx="265">
                <c:v>-0.24944320712694901</c:v>
              </c:pt>
              <c:pt idx="266">
                <c:v>-0.24944320712694901</c:v>
              </c:pt>
              <c:pt idx="267">
                <c:v>-0.24944320712694901</c:v>
              </c:pt>
              <c:pt idx="268">
                <c:v>-0.24944320712694901</c:v>
              </c:pt>
              <c:pt idx="269">
                <c:v>-0.24944320712694901</c:v>
              </c:pt>
              <c:pt idx="270">
                <c:v>0.75055679287305099</c:v>
              </c:pt>
              <c:pt idx="271">
                <c:v>-0.24944320712694901</c:v>
              </c:pt>
              <c:pt idx="272">
                <c:v>-0.24944320712694901</c:v>
              </c:pt>
              <c:pt idx="273">
                <c:v>-0.24944320712694901</c:v>
              </c:pt>
              <c:pt idx="274">
                <c:v>-0.24944320712694901</c:v>
              </c:pt>
              <c:pt idx="275">
                <c:v>-0.24944320712694901</c:v>
              </c:pt>
              <c:pt idx="276">
                <c:v>-0.24944320712694901</c:v>
              </c:pt>
              <c:pt idx="277">
                <c:v>-0.24944320712694901</c:v>
              </c:pt>
              <c:pt idx="278">
                <c:v>1.750556792873051</c:v>
              </c:pt>
              <c:pt idx="279">
                <c:v>-0.24944320712694901</c:v>
              </c:pt>
              <c:pt idx="280">
                <c:v>-0.24944320712694901</c:v>
              </c:pt>
              <c:pt idx="281">
                <c:v>0.75055679287305099</c:v>
              </c:pt>
              <c:pt idx="282">
                <c:v>-0.24944320712694901</c:v>
              </c:pt>
              <c:pt idx="283">
                <c:v>-0.24944320712694901</c:v>
              </c:pt>
              <c:pt idx="284">
                <c:v>0.75055679287305099</c:v>
              </c:pt>
              <c:pt idx="285">
                <c:v>-0.24944320712694901</c:v>
              </c:pt>
              <c:pt idx="286">
                <c:v>-0.24944320712694901</c:v>
              </c:pt>
              <c:pt idx="287">
                <c:v>-0.24944320712694901</c:v>
              </c:pt>
              <c:pt idx="288">
                <c:v>-0.24944320712694901</c:v>
              </c:pt>
              <c:pt idx="289">
                <c:v>-0.24944320712694901</c:v>
              </c:pt>
              <c:pt idx="290">
                <c:v>-0.24944320712694901</c:v>
              </c:pt>
              <c:pt idx="291">
                <c:v>-0.24944320712694901</c:v>
              </c:pt>
              <c:pt idx="292">
                <c:v>-0.24944320712694901</c:v>
              </c:pt>
              <c:pt idx="293">
                <c:v>-0.24944320712694901</c:v>
              </c:pt>
              <c:pt idx="294">
                <c:v>-0.24944320712694901</c:v>
              </c:pt>
              <c:pt idx="295">
                <c:v>-0.24944320712694901</c:v>
              </c:pt>
              <c:pt idx="296">
                <c:v>0.75055679287305099</c:v>
              </c:pt>
              <c:pt idx="297">
                <c:v>-0.24944320712694901</c:v>
              </c:pt>
              <c:pt idx="298">
                <c:v>-0.24944320712694901</c:v>
              </c:pt>
              <c:pt idx="299">
                <c:v>-0.24944320712694901</c:v>
              </c:pt>
              <c:pt idx="300">
                <c:v>-0.24944320712694901</c:v>
              </c:pt>
              <c:pt idx="301">
                <c:v>-0.24944320712694901</c:v>
              </c:pt>
              <c:pt idx="302">
                <c:v>-0.24944320712694901</c:v>
              </c:pt>
              <c:pt idx="303">
                <c:v>-0.24944320712694901</c:v>
              </c:pt>
              <c:pt idx="304">
                <c:v>-0.24944320712694901</c:v>
              </c:pt>
              <c:pt idx="305">
                <c:v>-0.24944320712694901</c:v>
              </c:pt>
              <c:pt idx="306">
                <c:v>-0.24944320712694901</c:v>
              </c:pt>
              <c:pt idx="307">
                <c:v>-0.24944320712694901</c:v>
              </c:pt>
              <c:pt idx="308">
                <c:v>-0.24944320712694901</c:v>
              </c:pt>
              <c:pt idx="309">
                <c:v>-0.24944320712694901</c:v>
              </c:pt>
              <c:pt idx="310">
                <c:v>-0.24944320712694901</c:v>
              </c:pt>
              <c:pt idx="311">
                <c:v>-0.24944320712694901</c:v>
              </c:pt>
              <c:pt idx="312">
                <c:v>-0.24944320712694901</c:v>
              </c:pt>
              <c:pt idx="313">
                <c:v>-0.24944320712694901</c:v>
              </c:pt>
              <c:pt idx="314">
                <c:v>0.75055679287305099</c:v>
              </c:pt>
              <c:pt idx="315">
                <c:v>-0.24944320712694901</c:v>
              </c:pt>
              <c:pt idx="316">
                <c:v>-0.24944320712694901</c:v>
              </c:pt>
              <c:pt idx="317">
                <c:v>0.75055679287305099</c:v>
              </c:pt>
              <c:pt idx="318">
                <c:v>-0.24944320712694901</c:v>
              </c:pt>
              <c:pt idx="319">
                <c:v>-0.24944320712694901</c:v>
              </c:pt>
              <c:pt idx="320">
                <c:v>1.750556792873051</c:v>
              </c:pt>
              <c:pt idx="321">
                <c:v>-0.24944320712694901</c:v>
              </c:pt>
              <c:pt idx="322">
                <c:v>-0.24944320712694901</c:v>
              </c:pt>
              <c:pt idx="323">
                <c:v>-0.24944320712694901</c:v>
              </c:pt>
              <c:pt idx="324">
                <c:v>-0.24944320712694901</c:v>
              </c:pt>
              <c:pt idx="325">
                <c:v>0.75055679287305099</c:v>
              </c:pt>
              <c:pt idx="326">
                <c:v>-0.24944320712694901</c:v>
              </c:pt>
              <c:pt idx="327">
                <c:v>-0.24944320712694901</c:v>
              </c:pt>
              <c:pt idx="328">
                <c:v>-0.24944320712694901</c:v>
              </c:pt>
              <c:pt idx="329">
                <c:v>-0.24944320712694901</c:v>
              </c:pt>
              <c:pt idx="330">
                <c:v>0.75055679287305099</c:v>
              </c:pt>
              <c:pt idx="331">
                <c:v>-0.24944320712694901</c:v>
              </c:pt>
              <c:pt idx="332">
                <c:v>-0.24944320712694901</c:v>
              </c:pt>
              <c:pt idx="333">
                <c:v>-0.24944320712694901</c:v>
              </c:pt>
              <c:pt idx="334">
                <c:v>-0.24944320712694901</c:v>
              </c:pt>
              <c:pt idx="335">
                <c:v>-0.24944320712694901</c:v>
              </c:pt>
              <c:pt idx="336">
                <c:v>-0.24944320712694901</c:v>
              </c:pt>
              <c:pt idx="337">
                <c:v>-0.24944320712694901</c:v>
              </c:pt>
              <c:pt idx="338">
                <c:v>-0.24944320712694901</c:v>
              </c:pt>
              <c:pt idx="339">
                <c:v>-0.24944320712694901</c:v>
              </c:pt>
              <c:pt idx="340">
                <c:v>-0.24944320712694901</c:v>
              </c:pt>
              <c:pt idx="341">
                <c:v>-0.24944320712694901</c:v>
              </c:pt>
              <c:pt idx="342">
                <c:v>-0.24944320712694901</c:v>
              </c:pt>
              <c:pt idx="343">
                <c:v>-0.24944320712694901</c:v>
              </c:pt>
              <c:pt idx="344">
                <c:v>-0.24944320712694901</c:v>
              </c:pt>
              <c:pt idx="345">
                <c:v>0.75055679287305099</c:v>
              </c:pt>
              <c:pt idx="346">
                <c:v>-0.24944320712694901</c:v>
              </c:pt>
              <c:pt idx="347">
                <c:v>-0.24944320712694901</c:v>
              </c:pt>
              <c:pt idx="348">
                <c:v>1.750556792873051</c:v>
              </c:pt>
              <c:pt idx="349">
                <c:v>-0.24944320712694901</c:v>
              </c:pt>
              <c:pt idx="350">
                <c:v>-0.24944320712694901</c:v>
              </c:pt>
              <c:pt idx="351">
                <c:v>-0.24944320712694901</c:v>
              </c:pt>
              <c:pt idx="352">
                <c:v>-0.24944320712694901</c:v>
              </c:pt>
              <c:pt idx="353">
                <c:v>-0.24944320712694901</c:v>
              </c:pt>
              <c:pt idx="354">
                <c:v>-0.24944320712694901</c:v>
              </c:pt>
              <c:pt idx="355">
                <c:v>-0.24944320712694901</c:v>
              </c:pt>
              <c:pt idx="356">
                <c:v>0.75055679287305099</c:v>
              </c:pt>
              <c:pt idx="357">
                <c:v>-0.24944320712694901</c:v>
              </c:pt>
              <c:pt idx="358">
                <c:v>-0.24944320712694901</c:v>
              </c:pt>
              <c:pt idx="359">
                <c:v>-0.24944320712694901</c:v>
              </c:pt>
              <c:pt idx="360">
                <c:v>-0.24944320712694901</c:v>
              </c:pt>
              <c:pt idx="361">
                <c:v>-0.24944320712694901</c:v>
              </c:pt>
              <c:pt idx="362">
                <c:v>-0.24944320712694901</c:v>
              </c:pt>
              <c:pt idx="363">
                <c:v>0.75055679287305099</c:v>
              </c:pt>
              <c:pt idx="364">
                <c:v>-0.24944320712694901</c:v>
              </c:pt>
              <c:pt idx="365">
                <c:v>-0.24944320712694901</c:v>
              </c:pt>
              <c:pt idx="366">
                <c:v>-0.24944320712694901</c:v>
              </c:pt>
              <c:pt idx="367">
                <c:v>-0.24944320712694901</c:v>
              </c:pt>
              <c:pt idx="368">
                <c:v>-0.24944320712694901</c:v>
              </c:pt>
              <c:pt idx="369">
                <c:v>-0.24944320712694901</c:v>
              </c:pt>
              <c:pt idx="370">
                <c:v>-0.24944320712694901</c:v>
              </c:pt>
              <c:pt idx="371">
                <c:v>2.7505567928730512</c:v>
              </c:pt>
              <c:pt idx="372">
                <c:v>-0.24944320712694901</c:v>
              </c:pt>
              <c:pt idx="373">
                <c:v>-0.24944320712694901</c:v>
              </c:pt>
              <c:pt idx="374">
                <c:v>0.75055679287305099</c:v>
              </c:pt>
              <c:pt idx="375">
                <c:v>-0.24944320712694901</c:v>
              </c:pt>
              <c:pt idx="376">
                <c:v>-0.24944320712694901</c:v>
              </c:pt>
              <c:pt idx="377">
                <c:v>-0.24944320712694901</c:v>
              </c:pt>
              <c:pt idx="378">
                <c:v>-0.24944320712694901</c:v>
              </c:pt>
              <c:pt idx="379">
                <c:v>-0.24944320712694901</c:v>
              </c:pt>
              <c:pt idx="380">
                <c:v>-0.24944320712694901</c:v>
              </c:pt>
              <c:pt idx="381">
                <c:v>-0.24944320712694901</c:v>
              </c:pt>
              <c:pt idx="382">
                <c:v>0.75055679287305099</c:v>
              </c:pt>
              <c:pt idx="383">
                <c:v>-0.24944320712694901</c:v>
              </c:pt>
              <c:pt idx="384">
                <c:v>-0.24944320712694901</c:v>
              </c:pt>
              <c:pt idx="385">
                <c:v>-0.24944320712694901</c:v>
              </c:pt>
              <c:pt idx="386">
                <c:v>-0.24944320712694901</c:v>
              </c:pt>
              <c:pt idx="387">
                <c:v>-0.24944320712694901</c:v>
              </c:pt>
              <c:pt idx="388">
                <c:v>-0.24944320712694901</c:v>
              </c:pt>
              <c:pt idx="389">
                <c:v>-0.24944320712694901</c:v>
              </c:pt>
              <c:pt idx="390">
                <c:v>-0.24944320712694901</c:v>
              </c:pt>
              <c:pt idx="391">
                <c:v>-0.24944320712694901</c:v>
              </c:pt>
              <c:pt idx="392">
                <c:v>-0.24944320712694901</c:v>
              </c:pt>
              <c:pt idx="393">
                <c:v>-0.24944320712694901</c:v>
              </c:pt>
              <c:pt idx="394">
                <c:v>-0.24944320712694901</c:v>
              </c:pt>
              <c:pt idx="395">
                <c:v>-0.24944320712694901</c:v>
              </c:pt>
              <c:pt idx="396">
                <c:v>-0.24944320712694901</c:v>
              </c:pt>
              <c:pt idx="397">
                <c:v>-0.24944320712694901</c:v>
              </c:pt>
              <c:pt idx="398">
                <c:v>-0.24944320712694901</c:v>
              </c:pt>
              <c:pt idx="399">
                <c:v>-0.24944320712694901</c:v>
              </c:pt>
              <c:pt idx="400">
                <c:v>-0.24944320712694901</c:v>
              </c:pt>
              <c:pt idx="401">
                <c:v>-0.24944320712694901</c:v>
              </c:pt>
              <c:pt idx="402">
                <c:v>-0.24944320712694901</c:v>
              </c:pt>
              <c:pt idx="403">
                <c:v>-0.24944320712694901</c:v>
              </c:pt>
              <c:pt idx="404">
                <c:v>-0.24944320712694901</c:v>
              </c:pt>
              <c:pt idx="405">
                <c:v>-0.24944320712694901</c:v>
              </c:pt>
              <c:pt idx="406">
                <c:v>-0.24944320712694901</c:v>
              </c:pt>
              <c:pt idx="407">
                <c:v>-0.24944320712694901</c:v>
              </c:pt>
              <c:pt idx="408">
                <c:v>-0.24944320712694901</c:v>
              </c:pt>
              <c:pt idx="409">
                <c:v>-0.24944320712694901</c:v>
              </c:pt>
              <c:pt idx="410">
                <c:v>-0.24944320712694901</c:v>
              </c:pt>
              <c:pt idx="411">
                <c:v>-0.24944320712694901</c:v>
              </c:pt>
              <c:pt idx="412">
                <c:v>-0.24944320712694901</c:v>
              </c:pt>
              <c:pt idx="413">
                <c:v>-0.24944320712694901</c:v>
              </c:pt>
              <c:pt idx="414">
                <c:v>-0.24944320712694901</c:v>
              </c:pt>
              <c:pt idx="415">
                <c:v>-0.24944320712694901</c:v>
              </c:pt>
              <c:pt idx="416">
                <c:v>-0.24944320712694901</c:v>
              </c:pt>
              <c:pt idx="417">
                <c:v>-0.24944320712694901</c:v>
              </c:pt>
              <c:pt idx="418">
                <c:v>-0.24944320712694901</c:v>
              </c:pt>
              <c:pt idx="419">
                <c:v>-0.24944320712694901</c:v>
              </c:pt>
              <c:pt idx="420">
                <c:v>-0.24944320712694901</c:v>
              </c:pt>
              <c:pt idx="421">
                <c:v>-0.24944320712694901</c:v>
              </c:pt>
              <c:pt idx="422">
                <c:v>-0.24944320712694901</c:v>
              </c:pt>
              <c:pt idx="423">
                <c:v>-0.24944320712694901</c:v>
              </c:pt>
              <c:pt idx="424">
                <c:v>-0.24944320712694901</c:v>
              </c:pt>
              <c:pt idx="425">
                <c:v>-0.24944320712694901</c:v>
              </c:pt>
              <c:pt idx="426">
                <c:v>-0.24944320712694901</c:v>
              </c:pt>
              <c:pt idx="427">
                <c:v>-0.24944320712694901</c:v>
              </c:pt>
              <c:pt idx="428">
                <c:v>-0.24944320712694901</c:v>
              </c:pt>
              <c:pt idx="429">
                <c:v>-0.24944320712694901</c:v>
              </c:pt>
              <c:pt idx="430">
                <c:v>-0.24944320712694901</c:v>
              </c:pt>
              <c:pt idx="431">
                <c:v>-0.24944320712694901</c:v>
              </c:pt>
              <c:pt idx="432">
                <c:v>-0.24944320712694901</c:v>
              </c:pt>
              <c:pt idx="433">
                <c:v>-0.24944320712694901</c:v>
              </c:pt>
              <c:pt idx="434">
                <c:v>-0.24944320712694901</c:v>
              </c:pt>
              <c:pt idx="435">
                <c:v>-0.24944320712694901</c:v>
              </c:pt>
              <c:pt idx="436">
                <c:v>-0.24944320712694901</c:v>
              </c:pt>
              <c:pt idx="437">
                <c:v>-0.24944320712694901</c:v>
              </c:pt>
              <c:pt idx="438">
                <c:v>-0.24944320712694901</c:v>
              </c:pt>
              <c:pt idx="439">
                <c:v>-0.24944320712694901</c:v>
              </c:pt>
              <c:pt idx="440">
                <c:v>-0.24944320712694901</c:v>
              </c:pt>
              <c:pt idx="441">
                <c:v>-0.24944320712694901</c:v>
              </c:pt>
              <c:pt idx="442">
                <c:v>-0.24944320712694901</c:v>
              </c:pt>
              <c:pt idx="443">
                <c:v>-0.24944320712694901</c:v>
              </c:pt>
              <c:pt idx="444">
                <c:v>-0.24944320712694901</c:v>
              </c:pt>
              <c:pt idx="445">
                <c:v>-0.24944320712694901</c:v>
              </c:pt>
              <c:pt idx="446">
                <c:v>-0.24944320712694901</c:v>
              </c:pt>
              <c:pt idx="447">
                <c:v>-0.24944320712694901</c:v>
              </c:pt>
              <c:pt idx="448">
                <c:v>-0.24944320712694901</c:v>
              </c:pt>
            </c:numLit>
          </c:xVal>
          <c:yVal>
            <c:numLit>
              <c:formatCode>General</c:formatCode>
              <c:ptCount val="449"/>
              <c:pt idx="0">
                <c:v>1.57238307349666</c:v>
              </c:pt>
              <c:pt idx="1">
                <c:v>-0.42761692650334099</c:v>
              </c:pt>
              <c:pt idx="2">
                <c:v>-0.42761692650334099</c:v>
              </c:pt>
              <c:pt idx="3">
                <c:v>0.57238307349665896</c:v>
              </c:pt>
              <c:pt idx="4">
                <c:v>-0.42761692650334099</c:v>
              </c:pt>
              <c:pt idx="5">
                <c:v>-0.42761692650334099</c:v>
              </c:pt>
              <c:pt idx="6">
                <c:v>-0.42761692650334099</c:v>
              </c:pt>
              <c:pt idx="7">
                <c:v>3.5723830734966588</c:v>
              </c:pt>
              <c:pt idx="8">
                <c:v>0.57238307349665896</c:v>
              </c:pt>
              <c:pt idx="9">
                <c:v>-0.42761692650334099</c:v>
              </c:pt>
              <c:pt idx="10">
                <c:v>0.57238307349665896</c:v>
              </c:pt>
              <c:pt idx="11">
                <c:v>-0.42761692650334099</c:v>
              </c:pt>
              <c:pt idx="12">
                <c:v>-0.42761692650334099</c:v>
              </c:pt>
              <c:pt idx="13">
                <c:v>1.57238307349666</c:v>
              </c:pt>
              <c:pt idx="14">
                <c:v>-0.42761692650334099</c:v>
              </c:pt>
              <c:pt idx="15">
                <c:v>1.57238307349666</c:v>
              </c:pt>
              <c:pt idx="16">
                <c:v>0.57238307349665896</c:v>
              </c:pt>
              <c:pt idx="17">
                <c:v>-0.42761692650334099</c:v>
              </c:pt>
              <c:pt idx="18">
                <c:v>-0.42761692650334099</c:v>
              </c:pt>
              <c:pt idx="19">
                <c:v>-0.42761692650334099</c:v>
              </c:pt>
              <c:pt idx="20">
                <c:v>0.57238307349665896</c:v>
              </c:pt>
              <c:pt idx="21">
                <c:v>-0.42761692650334099</c:v>
              </c:pt>
              <c:pt idx="22">
                <c:v>0.57238307349665896</c:v>
              </c:pt>
              <c:pt idx="23">
                <c:v>-0.42761692650334099</c:v>
              </c:pt>
              <c:pt idx="24">
                <c:v>0.57238307349665896</c:v>
              </c:pt>
              <c:pt idx="25">
                <c:v>-0.42761692650334099</c:v>
              </c:pt>
              <c:pt idx="26">
                <c:v>-0.42761692650334099</c:v>
              </c:pt>
              <c:pt idx="27">
                <c:v>-0.42761692650334099</c:v>
              </c:pt>
              <c:pt idx="28">
                <c:v>-0.42761692650334099</c:v>
              </c:pt>
              <c:pt idx="29">
                <c:v>0.57238307349665896</c:v>
              </c:pt>
              <c:pt idx="30">
                <c:v>-0.42761692650334099</c:v>
              </c:pt>
              <c:pt idx="31">
                <c:v>-0.42761692650334099</c:v>
              </c:pt>
              <c:pt idx="32">
                <c:v>0.57238307349665896</c:v>
              </c:pt>
              <c:pt idx="33">
                <c:v>0.57238307349665896</c:v>
              </c:pt>
              <c:pt idx="34">
                <c:v>-0.42761692650334099</c:v>
              </c:pt>
              <c:pt idx="35">
                <c:v>-0.42761692650334099</c:v>
              </c:pt>
              <c:pt idx="36">
                <c:v>-0.42761692650334099</c:v>
              </c:pt>
              <c:pt idx="37">
                <c:v>-0.42761692650334099</c:v>
              </c:pt>
              <c:pt idx="38">
                <c:v>-0.42761692650334099</c:v>
              </c:pt>
              <c:pt idx="39">
                <c:v>-0.42761692650334099</c:v>
              </c:pt>
              <c:pt idx="40">
                <c:v>-0.42761692650334099</c:v>
              </c:pt>
              <c:pt idx="41">
                <c:v>0.57238307349665896</c:v>
              </c:pt>
              <c:pt idx="42">
                <c:v>-0.42761692650334099</c:v>
              </c:pt>
              <c:pt idx="43">
                <c:v>1.57238307349666</c:v>
              </c:pt>
              <c:pt idx="44">
                <c:v>-0.42761692650334099</c:v>
              </c:pt>
              <c:pt idx="45">
                <c:v>-0.42761692650334099</c:v>
              </c:pt>
              <c:pt idx="46">
                <c:v>-0.42761692650334099</c:v>
              </c:pt>
              <c:pt idx="47">
                <c:v>-0.42761692650334099</c:v>
              </c:pt>
              <c:pt idx="48">
                <c:v>-0.42761692650334099</c:v>
              </c:pt>
              <c:pt idx="49">
                <c:v>0.57238307349665896</c:v>
              </c:pt>
              <c:pt idx="50">
                <c:v>-0.42761692650334099</c:v>
              </c:pt>
              <c:pt idx="51">
                <c:v>-0.42761692650334099</c:v>
              </c:pt>
              <c:pt idx="52">
                <c:v>-0.42761692650334099</c:v>
              </c:pt>
              <c:pt idx="53">
                <c:v>-0.42761692650334099</c:v>
              </c:pt>
              <c:pt idx="54">
                <c:v>-0.42761692650334099</c:v>
              </c:pt>
              <c:pt idx="55">
                <c:v>1.57238307349666</c:v>
              </c:pt>
              <c:pt idx="56">
                <c:v>-0.42761692650334099</c:v>
              </c:pt>
              <c:pt idx="57">
                <c:v>-0.42761692650334099</c:v>
              </c:pt>
              <c:pt idx="58">
                <c:v>-0.42761692650334099</c:v>
              </c:pt>
              <c:pt idx="59">
                <c:v>-0.42761692650334099</c:v>
              </c:pt>
              <c:pt idx="60">
                <c:v>1.57238307349666</c:v>
              </c:pt>
              <c:pt idx="61">
                <c:v>-0.42761692650334099</c:v>
              </c:pt>
              <c:pt idx="62">
                <c:v>-0.42761692650334099</c:v>
              </c:pt>
              <c:pt idx="63">
                <c:v>-0.42761692650334099</c:v>
              </c:pt>
              <c:pt idx="64">
                <c:v>-0.42761692650334099</c:v>
              </c:pt>
              <c:pt idx="65">
                <c:v>0.57238307349665896</c:v>
              </c:pt>
              <c:pt idx="66">
                <c:v>0.57238307349665896</c:v>
              </c:pt>
              <c:pt idx="67">
                <c:v>-0.42761692650334099</c:v>
              </c:pt>
              <c:pt idx="68">
                <c:v>-0.42761692650334099</c:v>
              </c:pt>
              <c:pt idx="69">
                <c:v>-0.42761692650334099</c:v>
              </c:pt>
              <c:pt idx="70">
                <c:v>-0.42761692650334099</c:v>
              </c:pt>
              <c:pt idx="71">
                <c:v>-0.42761692650334099</c:v>
              </c:pt>
              <c:pt idx="72">
                <c:v>-0.42761692650334099</c:v>
              </c:pt>
              <c:pt idx="73">
                <c:v>3.5723830734966588</c:v>
              </c:pt>
              <c:pt idx="74">
                <c:v>0.57238307349665896</c:v>
              </c:pt>
              <c:pt idx="75">
                <c:v>-0.42761692650334099</c:v>
              </c:pt>
              <c:pt idx="76">
                <c:v>-0.42761692650334099</c:v>
              </c:pt>
              <c:pt idx="77">
                <c:v>-0.42761692650334099</c:v>
              </c:pt>
              <c:pt idx="78">
                <c:v>-0.42761692650334099</c:v>
              </c:pt>
              <c:pt idx="79">
                <c:v>-0.42761692650334099</c:v>
              </c:pt>
              <c:pt idx="80">
                <c:v>-0.42761692650334099</c:v>
              </c:pt>
              <c:pt idx="81">
                <c:v>-0.42761692650334099</c:v>
              </c:pt>
              <c:pt idx="82">
                <c:v>-0.42761692650334099</c:v>
              </c:pt>
              <c:pt idx="83">
                <c:v>-0.42761692650334099</c:v>
              </c:pt>
              <c:pt idx="84">
                <c:v>-0.42761692650334099</c:v>
              </c:pt>
              <c:pt idx="85">
                <c:v>-0.42761692650334099</c:v>
              </c:pt>
              <c:pt idx="86">
                <c:v>-0.42761692650334099</c:v>
              </c:pt>
              <c:pt idx="87">
                <c:v>-0.42761692650334099</c:v>
              </c:pt>
              <c:pt idx="88">
                <c:v>-0.42761692650334099</c:v>
              </c:pt>
              <c:pt idx="89">
                <c:v>-0.42761692650334099</c:v>
              </c:pt>
              <c:pt idx="90">
                <c:v>-0.42761692650334099</c:v>
              </c:pt>
              <c:pt idx="91">
                <c:v>-0.42761692650334099</c:v>
              </c:pt>
              <c:pt idx="92">
                <c:v>-0.42761692650334099</c:v>
              </c:pt>
              <c:pt idx="93">
                <c:v>1.57238307349666</c:v>
              </c:pt>
              <c:pt idx="94">
                <c:v>-0.42761692650334099</c:v>
              </c:pt>
              <c:pt idx="95">
                <c:v>1.57238307349666</c:v>
              </c:pt>
              <c:pt idx="96">
                <c:v>-0.42761692650334099</c:v>
              </c:pt>
              <c:pt idx="97">
                <c:v>-0.42761692650334099</c:v>
              </c:pt>
              <c:pt idx="98">
                <c:v>-0.42761692650334099</c:v>
              </c:pt>
              <c:pt idx="99">
                <c:v>-0.42761692650334099</c:v>
              </c:pt>
              <c:pt idx="100">
                <c:v>0.57238307349665896</c:v>
              </c:pt>
              <c:pt idx="101">
                <c:v>1.57238307349666</c:v>
              </c:pt>
              <c:pt idx="102">
                <c:v>-0.42761692650334099</c:v>
              </c:pt>
              <c:pt idx="103">
                <c:v>-0.42761692650334099</c:v>
              </c:pt>
              <c:pt idx="104">
                <c:v>-0.42761692650334099</c:v>
              </c:pt>
              <c:pt idx="105">
                <c:v>-0.42761692650334099</c:v>
              </c:pt>
              <c:pt idx="106">
                <c:v>0.57238307349665896</c:v>
              </c:pt>
              <c:pt idx="107">
                <c:v>-0.42761692650334099</c:v>
              </c:pt>
              <c:pt idx="108">
                <c:v>-0.42761692650334099</c:v>
              </c:pt>
              <c:pt idx="109">
                <c:v>1.57238307349666</c:v>
              </c:pt>
              <c:pt idx="110">
                <c:v>0.57238307349665896</c:v>
              </c:pt>
              <c:pt idx="111">
                <c:v>0.57238307349665896</c:v>
              </c:pt>
              <c:pt idx="112">
                <c:v>-0.42761692650334099</c:v>
              </c:pt>
              <c:pt idx="113">
                <c:v>-0.42761692650334099</c:v>
              </c:pt>
              <c:pt idx="114">
                <c:v>-0.42761692650334099</c:v>
              </c:pt>
              <c:pt idx="115">
                <c:v>-0.42761692650334099</c:v>
              </c:pt>
              <c:pt idx="116">
                <c:v>-0.42761692650334099</c:v>
              </c:pt>
              <c:pt idx="117">
                <c:v>0.57238307349665896</c:v>
              </c:pt>
              <c:pt idx="118">
                <c:v>-0.42761692650334099</c:v>
              </c:pt>
              <c:pt idx="119">
                <c:v>-0.42761692650334099</c:v>
              </c:pt>
              <c:pt idx="120">
                <c:v>-0.42761692650334099</c:v>
              </c:pt>
              <c:pt idx="121">
                <c:v>0.57238307349665896</c:v>
              </c:pt>
              <c:pt idx="122">
                <c:v>-0.42761692650334099</c:v>
              </c:pt>
              <c:pt idx="123">
                <c:v>3.5723830734966588</c:v>
              </c:pt>
              <c:pt idx="124">
                <c:v>0.57238307349665896</c:v>
              </c:pt>
              <c:pt idx="125">
                <c:v>0.57238307349665896</c:v>
              </c:pt>
              <c:pt idx="126">
                <c:v>-0.42761692650334099</c:v>
              </c:pt>
              <c:pt idx="127">
                <c:v>-0.42761692650334099</c:v>
              </c:pt>
              <c:pt idx="128">
                <c:v>-0.42761692650334099</c:v>
              </c:pt>
              <c:pt idx="129">
                <c:v>-0.42761692650334099</c:v>
              </c:pt>
              <c:pt idx="130">
                <c:v>-0.42761692650334099</c:v>
              </c:pt>
              <c:pt idx="131">
                <c:v>-0.42761692650334099</c:v>
              </c:pt>
              <c:pt idx="132">
                <c:v>1.57238307349666</c:v>
              </c:pt>
              <c:pt idx="133">
                <c:v>-0.42761692650334099</c:v>
              </c:pt>
              <c:pt idx="134">
                <c:v>-0.42761692650334099</c:v>
              </c:pt>
              <c:pt idx="135">
                <c:v>-0.42761692650334099</c:v>
              </c:pt>
              <c:pt idx="136">
                <c:v>2.5723830734966588</c:v>
              </c:pt>
              <c:pt idx="137">
                <c:v>1.57238307349666</c:v>
              </c:pt>
              <c:pt idx="138">
                <c:v>-0.42761692650334099</c:v>
              </c:pt>
              <c:pt idx="139">
                <c:v>-0.42761692650334099</c:v>
              </c:pt>
              <c:pt idx="140">
                <c:v>0.57238307349665896</c:v>
              </c:pt>
              <c:pt idx="141">
                <c:v>-0.42761692650334099</c:v>
              </c:pt>
              <c:pt idx="142">
                <c:v>0.57238307349665896</c:v>
              </c:pt>
              <c:pt idx="143">
                <c:v>0.57238307349665896</c:v>
              </c:pt>
              <c:pt idx="144">
                <c:v>-0.42761692650334099</c:v>
              </c:pt>
              <c:pt idx="145">
                <c:v>1.57238307349666</c:v>
              </c:pt>
              <c:pt idx="146">
                <c:v>-0.42761692650334099</c:v>
              </c:pt>
              <c:pt idx="147">
                <c:v>0.57238307349665896</c:v>
              </c:pt>
              <c:pt idx="148">
                <c:v>1.57238307349666</c:v>
              </c:pt>
              <c:pt idx="149">
                <c:v>-0.42761692650334099</c:v>
              </c:pt>
              <c:pt idx="150">
                <c:v>-0.42761692650334099</c:v>
              </c:pt>
              <c:pt idx="151">
                <c:v>-0.42761692650334099</c:v>
              </c:pt>
              <c:pt idx="152">
                <c:v>7.5723830734966597</c:v>
              </c:pt>
              <c:pt idx="153">
                <c:v>0.57238307349665896</c:v>
              </c:pt>
              <c:pt idx="154">
                <c:v>-0.42761692650334099</c:v>
              </c:pt>
              <c:pt idx="155">
                <c:v>-0.42761692650334099</c:v>
              </c:pt>
              <c:pt idx="156">
                <c:v>1.57238307349666</c:v>
              </c:pt>
              <c:pt idx="157">
                <c:v>0.57238307349665896</c:v>
              </c:pt>
              <c:pt idx="158">
                <c:v>3.5723830734966588</c:v>
              </c:pt>
              <c:pt idx="159">
                <c:v>0.57238307349665896</c:v>
              </c:pt>
              <c:pt idx="160">
                <c:v>-0.42761692650334099</c:v>
              </c:pt>
              <c:pt idx="161">
                <c:v>-0.42761692650334099</c:v>
              </c:pt>
              <c:pt idx="162">
                <c:v>0.57238307349665896</c:v>
              </c:pt>
              <c:pt idx="163">
                <c:v>-0.42761692650334099</c:v>
              </c:pt>
              <c:pt idx="164">
                <c:v>-0.42761692650334099</c:v>
              </c:pt>
              <c:pt idx="165">
                <c:v>0.57238307349665896</c:v>
              </c:pt>
              <c:pt idx="166">
                <c:v>1.57238307349666</c:v>
              </c:pt>
              <c:pt idx="167">
                <c:v>0.57238307349665896</c:v>
              </c:pt>
              <c:pt idx="168">
                <c:v>-0.42761692650334099</c:v>
              </c:pt>
              <c:pt idx="169">
                <c:v>-0.42761692650334099</c:v>
              </c:pt>
              <c:pt idx="170">
                <c:v>-0.42761692650334099</c:v>
              </c:pt>
              <c:pt idx="171">
                <c:v>0.57238307349665896</c:v>
              </c:pt>
              <c:pt idx="172">
                <c:v>-0.42761692650334099</c:v>
              </c:pt>
              <c:pt idx="173">
                <c:v>-0.42761692650334099</c:v>
              </c:pt>
              <c:pt idx="174">
                <c:v>0.57238307349665896</c:v>
              </c:pt>
              <c:pt idx="175">
                <c:v>-0.42761692650334099</c:v>
              </c:pt>
              <c:pt idx="176">
                <c:v>-0.42761692650334099</c:v>
              </c:pt>
              <c:pt idx="177">
                <c:v>-0.42761692650334099</c:v>
              </c:pt>
              <c:pt idx="178">
                <c:v>1.57238307349666</c:v>
              </c:pt>
              <c:pt idx="179">
                <c:v>-0.42761692650334099</c:v>
              </c:pt>
              <c:pt idx="180">
                <c:v>-0.42761692650334099</c:v>
              </c:pt>
              <c:pt idx="181">
                <c:v>0.57238307349665896</c:v>
              </c:pt>
              <c:pt idx="182">
                <c:v>-0.42761692650334099</c:v>
              </c:pt>
              <c:pt idx="183">
                <c:v>4.5723830734966597</c:v>
              </c:pt>
              <c:pt idx="184">
                <c:v>-0.42761692650334099</c:v>
              </c:pt>
              <c:pt idx="185">
                <c:v>4.5723830734966597</c:v>
              </c:pt>
              <c:pt idx="186">
                <c:v>-0.42761692650334099</c:v>
              </c:pt>
              <c:pt idx="187">
                <c:v>-0.42761692650334099</c:v>
              </c:pt>
              <c:pt idx="188">
                <c:v>0.57238307349665896</c:v>
              </c:pt>
              <c:pt idx="189">
                <c:v>-0.42761692650334099</c:v>
              </c:pt>
              <c:pt idx="190">
                <c:v>-0.42761692650334099</c:v>
              </c:pt>
              <c:pt idx="191">
                <c:v>1.57238307349666</c:v>
              </c:pt>
              <c:pt idx="192">
                <c:v>-0.42761692650334099</c:v>
              </c:pt>
              <c:pt idx="193">
                <c:v>0.57238307349665896</c:v>
              </c:pt>
              <c:pt idx="194">
                <c:v>-0.42761692650334099</c:v>
              </c:pt>
              <c:pt idx="195">
                <c:v>-0.42761692650334099</c:v>
              </c:pt>
              <c:pt idx="196">
                <c:v>-0.42761692650334099</c:v>
              </c:pt>
              <c:pt idx="197">
                <c:v>-0.42761692650334099</c:v>
              </c:pt>
              <c:pt idx="198">
                <c:v>1.57238307349666</c:v>
              </c:pt>
              <c:pt idx="199">
                <c:v>-0.42761692650334099</c:v>
              </c:pt>
              <c:pt idx="200">
                <c:v>-0.42761692650334099</c:v>
              </c:pt>
              <c:pt idx="201">
                <c:v>-0.42761692650334099</c:v>
              </c:pt>
              <c:pt idx="202">
                <c:v>0.57238307349665896</c:v>
              </c:pt>
              <c:pt idx="203">
                <c:v>0.57238307349665896</c:v>
              </c:pt>
              <c:pt idx="204">
                <c:v>0.57238307349665896</c:v>
              </c:pt>
              <c:pt idx="205">
                <c:v>-0.42761692650334099</c:v>
              </c:pt>
              <c:pt idx="206">
                <c:v>1.57238307349666</c:v>
              </c:pt>
              <c:pt idx="207">
                <c:v>-0.42761692650334099</c:v>
              </c:pt>
              <c:pt idx="208">
                <c:v>0.57238307349665896</c:v>
              </c:pt>
              <c:pt idx="209">
                <c:v>1.57238307349666</c:v>
              </c:pt>
              <c:pt idx="210">
                <c:v>-0.42761692650334099</c:v>
              </c:pt>
              <c:pt idx="211">
                <c:v>-0.42761692650334099</c:v>
              </c:pt>
              <c:pt idx="212">
                <c:v>2.5723830734966588</c:v>
              </c:pt>
              <c:pt idx="213">
                <c:v>-0.42761692650334099</c:v>
              </c:pt>
              <c:pt idx="214">
                <c:v>-0.42761692650334099</c:v>
              </c:pt>
              <c:pt idx="215">
                <c:v>-0.42761692650334099</c:v>
              </c:pt>
              <c:pt idx="216">
                <c:v>11.57238307349666</c:v>
              </c:pt>
              <c:pt idx="217">
                <c:v>-0.42761692650334099</c:v>
              </c:pt>
              <c:pt idx="218">
                <c:v>-0.42761692650334099</c:v>
              </c:pt>
              <c:pt idx="219">
                <c:v>1.57238307349666</c:v>
              </c:pt>
              <c:pt idx="220">
                <c:v>-0.42761692650334099</c:v>
              </c:pt>
              <c:pt idx="221">
                <c:v>-0.42761692650334099</c:v>
              </c:pt>
              <c:pt idx="222">
                <c:v>-0.42761692650334099</c:v>
              </c:pt>
              <c:pt idx="223">
                <c:v>-0.42761692650334099</c:v>
              </c:pt>
              <c:pt idx="224">
                <c:v>-0.42761692650334099</c:v>
              </c:pt>
              <c:pt idx="225">
                <c:v>-0.42761692650334099</c:v>
              </c:pt>
              <c:pt idx="226">
                <c:v>-0.42761692650334099</c:v>
              </c:pt>
              <c:pt idx="227">
                <c:v>0.57238307349665896</c:v>
              </c:pt>
              <c:pt idx="228">
                <c:v>-0.42761692650334099</c:v>
              </c:pt>
              <c:pt idx="229">
                <c:v>-0.42761692650334099</c:v>
              </c:pt>
              <c:pt idx="230">
                <c:v>0.57238307349665896</c:v>
              </c:pt>
              <c:pt idx="231">
                <c:v>0.57238307349665896</c:v>
              </c:pt>
              <c:pt idx="232">
                <c:v>-0.42761692650334099</c:v>
              </c:pt>
              <c:pt idx="233">
                <c:v>-0.42761692650334099</c:v>
              </c:pt>
              <c:pt idx="234">
                <c:v>-0.42761692650334099</c:v>
              </c:pt>
              <c:pt idx="235">
                <c:v>0.57238307349665896</c:v>
              </c:pt>
              <c:pt idx="236">
                <c:v>5.5723830734966597</c:v>
              </c:pt>
              <c:pt idx="237">
                <c:v>-0.42761692650334099</c:v>
              </c:pt>
              <c:pt idx="238">
                <c:v>-0.42761692650334099</c:v>
              </c:pt>
              <c:pt idx="239">
                <c:v>-0.42761692650334099</c:v>
              </c:pt>
              <c:pt idx="240">
                <c:v>-0.42761692650334099</c:v>
              </c:pt>
              <c:pt idx="241">
                <c:v>1.57238307349666</c:v>
              </c:pt>
              <c:pt idx="242">
                <c:v>-0.42761692650334099</c:v>
              </c:pt>
              <c:pt idx="243">
                <c:v>-0.42761692650334099</c:v>
              </c:pt>
              <c:pt idx="244">
                <c:v>-0.42761692650334099</c:v>
              </c:pt>
              <c:pt idx="245">
                <c:v>-0.42761692650334099</c:v>
              </c:pt>
              <c:pt idx="246">
                <c:v>0.57238307349665896</c:v>
              </c:pt>
              <c:pt idx="247">
                <c:v>7.5723830734966597</c:v>
              </c:pt>
              <c:pt idx="248">
                <c:v>0.57238307349665896</c:v>
              </c:pt>
              <c:pt idx="249">
                <c:v>2.5723830734966588</c:v>
              </c:pt>
              <c:pt idx="250">
                <c:v>-0.42761692650334099</c:v>
              </c:pt>
              <c:pt idx="251">
                <c:v>0.57238307349665896</c:v>
              </c:pt>
              <c:pt idx="252">
                <c:v>-0.42761692650334099</c:v>
              </c:pt>
              <c:pt idx="253">
                <c:v>-0.42761692650334099</c:v>
              </c:pt>
              <c:pt idx="254">
                <c:v>-0.42761692650334099</c:v>
              </c:pt>
              <c:pt idx="255">
                <c:v>0.57238307349665896</c:v>
              </c:pt>
              <c:pt idx="256">
                <c:v>-0.42761692650334099</c:v>
              </c:pt>
              <c:pt idx="257">
                <c:v>-0.42761692650334099</c:v>
              </c:pt>
              <c:pt idx="258">
                <c:v>-0.42761692650334099</c:v>
              </c:pt>
              <c:pt idx="259">
                <c:v>-0.42761692650334099</c:v>
              </c:pt>
              <c:pt idx="260">
                <c:v>-0.42761692650334099</c:v>
              </c:pt>
              <c:pt idx="261">
                <c:v>0.57238307349665896</c:v>
              </c:pt>
              <c:pt idx="262">
                <c:v>0.57238307349665896</c:v>
              </c:pt>
              <c:pt idx="263">
                <c:v>-0.42761692650334099</c:v>
              </c:pt>
              <c:pt idx="264">
                <c:v>-0.42761692650334099</c:v>
              </c:pt>
              <c:pt idx="265">
                <c:v>-0.42761692650334099</c:v>
              </c:pt>
              <c:pt idx="266">
                <c:v>0.57238307349665896</c:v>
              </c:pt>
              <c:pt idx="267">
                <c:v>-0.42761692650334099</c:v>
              </c:pt>
              <c:pt idx="268">
                <c:v>-0.42761692650334099</c:v>
              </c:pt>
              <c:pt idx="269">
                <c:v>-0.42761692650334099</c:v>
              </c:pt>
              <c:pt idx="270">
                <c:v>3.5723830734966588</c:v>
              </c:pt>
              <c:pt idx="271">
                <c:v>-0.42761692650334099</c:v>
              </c:pt>
              <c:pt idx="272">
                <c:v>-0.42761692650334099</c:v>
              </c:pt>
              <c:pt idx="273">
                <c:v>-0.42761692650334099</c:v>
              </c:pt>
              <c:pt idx="274">
                <c:v>-0.42761692650334099</c:v>
              </c:pt>
              <c:pt idx="275">
                <c:v>-0.42761692650334099</c:v>
              </c:pt>
              <c:pt idx="276">
                <c:v>-0.42761692650334099</c:v>
              </c:pt>
              <c:pt idx="277">
                <c:v>0.57238307349665896</c:v>
              </c:pt>
              <c:pt idx="278">
                <c:v>-0.42761692650334099</c:v>
              </c:pt>
              <c:pt idx="279">
                <c:v>-0.42761692650334099</c:v>
              </c:pt>
              <c:pt idx="280">
                <c:v>-0.42761692650334099</c:v>
              </c:pt>
              <c:pt idx="281">
                <c:v>-0.42761692650334099</c:v>
              </c:pt>
              <c:pt idx="282">
                <c:v>-0.42761692650334099</c:v>
              </c:pt>
              <c:pt idx="283">
                <c:v>-0.42761692650334099</c:v>
              </c:pt>
              <c:pt idx="284">
                <c:v>-0.42761692650334099</c:v>
              </c:pt>
              <c:pt idx="285">
                <c:v>-0.42761692650334099</c:v>
              </c:pt>
              <c:pt idx="286">
                <c:v>-0.42761692650334099</c:v>
              </c:pt>
              <c:pt idx="287">
                <c:v>-0.42761692650334099</c:v>
              </c:pt>
              <c:pt idx="288">
                <c:v>-0.42761692650334099</c:v>
              </c:pt>
              <c:pt idx="289">
                <c:v>-0.42761692650334099</c:v>
              </c:pt>
              <c:pt idx="290">
                <c:v>-0.42761692650334099</c:v>
              </c:pt>
              <c:pt idx="291">
                <c:v>-0.42761692650334099</c:v>
              </c:pt>
              <c:pt idx="292">
                <c:v>-0.42761692650334099</c:v>
              </c:pt>
              <c:pt idx="293">
                <c:v>-0.42761692650334099</c:v>
              </c:pt>
              <c:pt idx="294">
                <c:v>-0.42761692650334099</c:v>
              </c:pt>
              <c:pt idx="295">
                <c:v>-0.42761692650334099</c:v>
              </c:pt>
              <c:pt idx="296">
                <c:v>0.57238307349665896</c:v>
              </c:pt>
              <c:pt idx="297">
                <c:v>-0.42761692650334099</c:v>
              </c:pt>
              <c:pt idx="298">
                <c:v>-0.42761692650334099</c:v>
              </c:pt>
              <c:pt idx="299">
                <c:v>-0.42761692650334099</c:v>
              </c:pt>
              <c:pt idx="300">
                <c:v>-0.42761692650334099</c:v>
              </c:pt>
              <c:pt idx="301">
                <c:v>1.57238307349666</c:v>
              </c:pt>
              <c:pt idx="302">
                <c:v>-0.42761692650334099</c:v>
              </c:pt>
              <c:pt idx="303">
                <c:v>-0.42761692650334099</c:v>
              </c:pt>
              <c:pt idx="304">
                <c:v>-0.42761692650334099</c:v>
              </c:pt>
              <c:pt idx="305">
                <c:v>-0.42761692650334099</c:v>
              </c:pt>
              <c:pt idx="306">
                <c:v>-0.42761692650334099</c:v>
              </c:pt>
              <c:pt idx="307">
                <c:v>-0.42761692650334099</c:v>
              </c:pt>
              <c:pt idx="308">
                <c:v>-0.42761692650334099</c:v>
              </c:pt>
              <c:pt idx="309">
                <c:v>1.57238307349666</c:v>
              </c:pt>
              <c:pt idx="310">
                <c:v>-0.42761692650334099</c:v>
              </c:pt>
              <c:pt idx="311">
                <c:v>-0.42761692650334099</c:v>
              </c:pt>
              <c:pt idx="312">
                <c:v>-0.42761692650334099</c:v>
              </c:pt>
              <c:pt idx="313">
                <c:v>-0.42761692650334099</c:v>
              </c:pt>
              <c:pt idx="314">
                <c:v>0.57238307349665896</c:v>
              </c:pt>
              <c:pt idx="315">
                <c:v>-0.42761692650334099</c:v>
              </c:pt>
              <c:pt idx="316">
                <c:v>-0.42761692650334099</c:v>
              </c:pt>
              <c:pt idx="317">
                <c:v>-0.42761692650334099</c:v>
              </c:pt>
              <c:pt idx="318">
                <c:v>-0.42761692650334099</c:v>
              </c:pt>
              <c:pt idx="319">
                <c:v>-0.42761692650334099</c:v>
              </c:pt>
              <c:pt idx="320">
                <c:v>0.57238307349665896</c:v>
              </c:pt>
              <c:pt idx="321">
                <c:v>-0.42761692650334099</c:v>
              </c:pt>
              <c:pt idx="322">
                <c:v>-0.42761692650334099</c:v>
              </c:pt>
              <c:pt idx="323">
                <c:v>-0.42761692650334099</c:v>
              </c:pt>
              <c:pt idx="324">
                <c:v>-0.42761692650334099</c:v>
              </c:pt>
              <c:pt idx="325">
                <c:v>-0.42761692650334099</c:v>
              </c:pt>
              <c:pt idx="326">
                <c:v>-0.42761692650334099</c:v>
              </c:pt>
              <c:pt idx="327">
                <c:v>0.57238307349665896</c:v>
              </c:pt>
              <c:pt idx="328">
                <c:v>-0.42761692650334099</c:v>
              </c:pt>
              <c:pt idx="329">
                <c:v>-0.42761692650334099</c:v>
              </c:pt>
              <c:pt idx="330">
                <c:v>0.57238307349665896</c:v>
              </c:pt>
              <c:pt idx="331">
                <c:v>-0.42761692650334099</c:v>
              </c:pt>
              <c:pt idx="332">
                <c:v>-0.42761692650334099</c:v>
              </c:pt>
              <c:pt idx="333">
                <c:v>0.57238307349665896</c:v>
              </c:pt>
              <c:pt idx="334">
                <c:v>-0.42761692650334099</c:v>
              </c:pt>
              <c:pt idx="335">
                <c:v>0.57238307349665896</c:v>
              </c:pt>
              <c:pt idx="336">
                <c:v>-0.42761692650334099</c:v>
              </c:pt>
              <c:pt idx="337">
                <c:v>-0.42761692650334099</c:v>
              </c:pt>
              <c:pt idx="338">
                <c:v>-0.42761692650334099</c:v>
              </c:pt>
              <c:pt idx="339">
                <c:v>-0.42761692650334099</c:v>
              </c:pt>
              <c:pt idx="340">
                <c:v>-0.42761692650334099</c:v>
              </c:pt>
              <c:pt idx="341">
                <c:v>-0.42761692650334099</c:v>
              </c:pt>
              <c:pt idx="342">
                <c:v>-0.42761692650334099</c:v>
              </c:pt>
              <c:pt idx="343">
                <c:v>-0.42761692650334099</c:v>
              </c:pt>
              <c:pt idx="344">
                <c:v>-0.42761692650334099</c:v>
              </c:pt>
              <c:pt idx="345">
                <c:v>-0.42761692650334099</c:v>
              </c:pt>
              <c:pt idx="346">
                <c:v>-0.42761692650334099</c:v>
              </c:pt>
              <c:pt idx="347">
                <c:v>-0.42761692650334099</c:v>
              </c:pt>
              <c:pt idx="348">
                <c:v>0.57238307349665896</c:v>
              </c:pt>
              <c:pt idx="349">
                <c:v>-0.42761692650334099</c:v>
              </c:pt>
              <c:pt idx="350">
                <c:v>-0.42761692650334099</c:v>
              </c:pt>
              <c:pt idx="351">
                <c:v>0.57238307349665896</c:v>
              </c:pt>
              <c:pt idx="352">
                <c:v>-0.42761692650334099</c:v>
              </c:pt>
              <c:pt idx="353">
                <c:v>-0.42761692650334099</c:v>
              </c:pt>
              <c:pt idx="354">
                <c:v>-0.42761692650334099</c:v>
              </c:pt>
              <c:pt idx="355">
                <c:v>-0.42761692650334099</c:v>
              </c:pt>
              <c:pt idx="356">
                <c:v>0.57238307349665896</c:v>
              </c:pt>
              <c:pt idx="357">
                <c:v>-0.42761692650334099</c:v>
              </c:pt>
              <c:pt idx="358">
                <c:v>-0.42761692650334099</c:v>
              </c:pt>
              <c:pt idx="359">
                <c:v>-0.42761692650334099</c:v>
              </c:pt>
              <c:pt idx="360">
                <c:v>-0.42761692650334099</c:v>
              </c:pt>
              <c:pt idx="361">
                <c:v>-0.42761692650334099</c:v>
              </c:pt>
              <c:pt idx="362">
                <c:v>-0.42761692650334099</c:v>
              </c:pt>
              <c:pt idx="363">
                <c:v>0.57238307349665896</c:v>
              </c:pt>
              <c:pt idx="364">
                <c:v>-0.42761692650334099</c:v>
              </c:pt>
              <c:pt idx="365">
                <c:v>-0.42761692650334099</c:v>
              </c:pt>
              <c:pt idx="366">
                <c:v>-0.42761692650334099</c:v>
              </c:pt>
              <c:pt idx="367">
                <c:v>-0.42761692650334099</c:v>
              </c:pt>
              <c:pt idx="368">
                <c:v>-0.42761692650334099</c:v>
              </c:pt>
              <c:pt idx="369">
                <c:v>-0.42761692650334099</c:v>
              </c:pt>
              <c:pt idx="370">
                <c:v>-0.42761692650334099</c:v>
              </c:pt>
              <c:pt idx="371">
                <c:v>0.57238307349665896</c:v>
              </c:pt>
              <c:pt idx="372">
                <c:v>-0.42761692650334099</c:v>
              </c:pt>
              <c:pt idx="373">
                <c:v>-0.42761692650334099</c:v>
              </c:pt>
              <c:pt idx="374">
                <c:v>-0.42761692650334099</c:v>
              </c:pt>
              <c:pt idx="375">
                <c:v>-0.42761692650334099</c:v>
              </c:pt>
              <c:pt idx="376">
                <c:v>-0.42761692650334099</c:v>
              </c:pt>
              <c:pt idx="377">
                <c:v>-0.42761692650334099</c:v>
              </c:pt>
              <c:pt idx="378">
                <c:v>-0.42761692650334099</c:v>
              </c:pt>
              <c:pt idx="379">
                <c:v>-0.42761692650334099</c:v>
              </c:pt>
              <c:pt idx="380">
                <c:v>-0.42761692650334099</c:v>
              </c:pt>
              <c:pt idx="381">
                <c:v>-0.42761692650334099</c:v>
              </c:pt>
              <c:pt idx="382">
                <c:v>-0.42761692650334099</c:v>
              </c:pt>
              <c:pt idx="383">
                <c:v>-0.42761692650334099</c:v>
              </c:pt>
              <c:pt idx="384">
                <c:v>-0.42761692650334099</c:v>
              </c:pt>
              <c:pt idx="385">
                <c:v>-0.42761692650334099</c:v>
              </c:pt>
              <c:pt idx="386">
                <c:v>-0.42761692650334099</c:v>
              </c:pt>
              <c:pt idx="387">
                <c:v>-0.42761692650334099</c:v>
              </c:pt>
              <c:pt idx="388">
                <c:v>-0.42761692650334099</c:v>
              </c:pt>
              <c:pt idx="389">
                <c:v>-0.42761692650334099</c:v>
              </c:pt>
              <c:pt idx="390">
                <c:v>-0.42761692650334099</c:v>
              </c:pt>
              <c:pt idx="391">
                <c:v>-0.42761692650334099</c:v>
              </c:pt>
              <c:pt idx="392">
                <c:v>-0.42761692650334099</c:v>
              </c:pt>
              <c:pt idx="393">
                <c:v>-0.42761692650334099</c:v>
              </c:pt>
              <c:pt idx="394">
                <c:v>-0.42761692650334099</c:v>
              </c:pt>
              <c:pt idx="395">
                <c:v>-0.42761692650334099</c:v>
              </c:pt>
              <c:pt idx="396">
                <c:v>-0.42761692650334099</c:v>
              </c:pt>
              <c:pt idx="397">
                <c:v>-0.42761692650334099</c:v>
              </c:pt>
              <c:pt idx="398">
                <c:v>-0.42761692650334099</c:v>
              </c:pt>
              <c:pt idx="399">
                <c:v>-0.42761692650334099</c:v>
              </c:pt>
              <c:pt idx="400">
                <c:v>-0.42761692650334099</c:v>
              </c:pt>
              <c:pt idx="401">
                <c:v>-0.42761692650334099</c:v>
              </c:pt>
              <c:pt idx="402">
                <c:v>-0.42761692650334099</c:v>
              </c:pt>
              <c:pt idx="403">
                <c:v>-0.42761692650334099</c:v>
              </c:pt>
              <c:pt idx="404">
                <c:v>-0.42761692650334099</c:v>
              </c:pt>
              <c:pt idx="405">
                <c:v>-0.42761692650334099</c:v>
              </c:pt>
              <c:pt idx="406">
                <c:v>-0.42761692650334099</c:v>
              </c:pt>
              <c:pt idx="407">
                <c:v>0.57238307349665896</c:v>
              </c:pt>
              <c:pt idx="408">
                <c:v>-0.42761692650334099</c:v>
              </c:pt>
              <c:pt idx="409">
                <c:v>-0.42761692650334099</c:v>
              </c:pt>
              <c:pt idx="410">
                <c:v>-0.42761692650334099</c:v>
              </c:pt>
              <c:pt idx="411">
                <c:v>-0.42761692650334099</c:v>
              </c:pt>
              <c:pt idx="412">
                <c:v>-0.42761692650334099</c:v>
              </c:pt>
              <c:pt idx="413">
                <c:v>-0.42761692650334099</c:v>
              </c:pt>
              <c:pt idx="414">
                <c:v>-0.42761692650334099</c:v>
              </c:pt>
              <c:pt idx="415">
                <c:v>-0.42761692650334099</c:v>
              </c:pt>
              <c:pt idx="416">
                <c:v>0.57238307349665896</c:v>
              </c:pt>
              <c:pt idx="417">
                <c:v>0.57238307349665896</c:v>
              </c:pt>
              <c:pt idx="418">
                <c:v>-0.42761692650334099</c:v>
              </c:pt>
              <c:pt idx="419">
                <c:v>-0.42761692650334099</c:v>
              </c:pt>
              <c:pt idx="420">
                <c:v>-0.42761692650334099</c:v>
              </c:pt>
              <c:pt idx="421">
                <c:v>-0.42761692650334099</c:v>
              </c:pt>
              <c:pt idx="422">
                <c:v>-0.42761692650334099</c:v>
              </c:pt>
              <c:pt idx="423">
                <c:v>-0.42761692650334099</c:v>
              </c:pt>
              <c:pt idx="424">
                <c:v>-0.42761692650334099</c:v>
              </c:pt>
              <c:pt idx="425">
                <c:v>-0.42761692650334099</c:v>
              </c:pt>
              <c:pt idx="426">
                <c:v>-0.42761692650334099</c:v>
              </c:pt>
              <c:pt idx="427">
                <c:v>-0.42761692650334099</c:v>
              </c:pt>
              <c:pt idx="428">
                <c:v>-0.42761692650334099</c:v>
              </c:pt>
              <c:pt idx="429">
                <c:v>-0.42761692650334099</c:v>
              </c:pt>
              <c:pt idx="430">
                <c:v>-0.42761692650334099</c:v>
              </c:pt>
              <c:pt idx="431">
                <c:v>-0.42761692650334099</c:v>
              </c:pt>
              <c:pt idx="432">
                <c:v>-0.42761692650334099</c:v>
              </c:pt>
              <c:pt idx="433">
                <c:v>-0.42761692650334099</c:v>
              </c:pt>
              <c:pt idx="434">
                <c:v>-0.42761692650334099</c:v>
              </c:pt>
              <c:pt idx="435">
                <c:v>-0.42761692650334099</c:v>
              </c:pt>
              <c:pt idx="436">
                <c:v>-0.42761692650334099</c:v>
              </c:pt>
              <c:pt idx="437">
                <c:v>-0.42761692650334099</c:v>
              </c:pt>
              <c:pt idx="438">
                <c:v>-0.42761692650334099</c:v>
              </c:pt>
              <c:pt idx="439">
                <c:v>-0.42761692650334099</c:v>
              </c:pt>
              <c:pt idx="440">
                <c:v>-0.42761692650334099</c:v>
              </c:pt>
              <c:pt idx="441">
                <c:v>-0.42761692650334099</c:v>
              </c:pt>
              <c:pt idx="442">
                <c:v>-0.42761692650334099</c:v>
              </c:pt>
              <c:pt idx="443">
                <c:v>-0.42761692650334099</c:v>
              </c:pt>
              <c:pt idx="444">
                <c:v>-0.42761692650334099</c:v>
              </c:pt>
              <c:pt idx="445">
                <c:v>-0.42761692650334099</c:v>
              </c:pt>
              <c:pt idx="446">
                <c:v>-0.42761692650334099</c:v>
              </c:pt>
              <c:pt idx="447">
                <c:v>-0.42761692650334099</c:v>
              </c:pt>
              <c:pt idx="448">
                <c:v>-0.42761692650334099</c:v>
              </c:pt>
            </c:numLit>
          </c:yVal>
          <c:smooth val="0"/>
        </c:ser>
        <c:dLbls>
          <c:showLegendKey val="0"/>
          <c:showVal val="0"/>
          <c:showCatName val="0"/>
          <c:showSerName val="0"/>
          <c:showPercent val="0"/>
          <c:showBubbleSize val="0"/>
        </c:dLbls>
        <c:axId val="639687136"/>
        <c:axId val="456423136"/>
      </c:scatterChart>
      <c:valAx>
        <c:axId val="639687136"/>
        <c:scaling>
          <c:orientation val="minMax"/>
          <c:max val="14"/>
          <c:min val="-2"/>
        </c:scaling>
        <c:delete val="0"/>
        <c:axPos val="b"/>
        <c:title>
          <c:tx>
            <c:rich>
              <a:bodyPr/>
              <a:lstStyle/>
              <a:p>
                <a:pPr algn="ctr" rtl="0">
                  <a:defRPr/>
                </a:pPr>
                <a:r>
                  <a:rPr lang="it-IT"/>
                  <a:t>Sector spread</a:t>
                </a:r>
              </a:p>
            </c:rich>
          </c:tx>
          <c:overlay val="0"/>
        </c:title>
        <c:numFmt formatCode="General" sourceLinked="1"/>
        <c:majorTickMark val="out"/>
        <c:minorTickMark val="none"/>
        <c:tickLblPos val="nextTo"/>
        <c:crossAx val="456423136"/>
        <c:crossesAt val="0"/>
        <c:crossBetween val="midCat"/>
        <c:majorUnit val="2"/>
        <c:minorUnit val="2"/>
      </c:valAx>
      <c:valAx>
        <c:axId val="456423136"/>
        <c:scaling>
          <c:orientation val="minMax"/>
          <c:max val="14"/>
          <c:min val="-2"/>
        </c:scaling>
        <c:delete val="0"/>
        <c:axPos val="l"/>
        <c:title>
          <c:tx>
            <c:rich>
              <a:bodyPr rot="-5400000" vert="horz"/>
              <a:lstStyle/>
              <a:p>
                <a:pPr>
                  <a:defRPr/>
                </a:pPr>
                <a:r>
                  <a:rPr lang="it-IT"/>
                  <a:t>Geographical spread</a:t>
                </a:r>
              </a:p>
            </c:rich>
          </c:tx>
          <c:overlay val="0"/>
        </c:title>
        <c:numFmt formatCode="General" sourceLinked="1"/>
        <c:majorTickMark val="out"/>
        <c:minorTickMark val="none"/>
        <c:tickLblPos val="nextTo"/>
        <c:crossAx val="639687136"/>
        <c:crossesAt val="0"/>
        <c:crossBetween val="midCat"/>
        <c:majorUnit val="2"/>
        <c:minorUnit val="2"/>
      </c:valAx>
    </c:plotArea>
    <c:plotVisOnly val="1"/>
    <c:dispBlanksAs val="gap"/>
    <c:showDLblsOverMax val="0"/>
  </c:chart>
  <c:txPr>
    <a:bodyPr/>
    <a:lstStyle/>
    <a:p>
      <a:pPr>
        <a:defRPr sz="800"/>
      </a:pPr>
      <a:endParaRPr lang="da-D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0.40541</cdr:x>
      <cdr:y>0.58093</cdr:y>
    </cdr:from>
    <cdr:to>
      <cdr:x>0.51081</cdr:x>
      <cdr:y>0.63858</cdr:y>
    </cdr:to>
    <cdr:sp macro="" textlink="">
      <cdr:nvSpPr>
        <cdr:cNvPr id="2" name="Rettangolo 1"/>
        <cdr:cNvSpPr/>
      </cdr:nvSpPr>
      <cdr:spPr>
        <a:xfrm xmlns:a="http://schemas.openxmlformats.org/drawingml/2006/main">
          <a:off x="3735295" y="3262157"/>
          <a:ext cx="971176" cy="323726"/>
        </a:xfrm>
        <a:prstGeom xmlns:a="http://schemas.openxmlformats.org/drawingml/2006/main" prst="rect">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t-IT" sz="800">
              <a:solidFill>
                <a:srgbClr val="000000"/>
              </a:solidFill>
            </a:rPr>
            <a:t>ChemChina</a:t>
          </a:r>
        </a:p>
      </cdr:txBody>
    </cdr:sp>
  </cdr:relSizeAnchor>
  <cdr:relSizeAnchor xmlns:cdr="http://schemas.openxmlformats.org/drawingml/2006/chartDrawing">
    <cdr:from>
      <cdr:x>0.23254</cdr:x>
      <cdr:y>0.04896</cdr:y>
    </cdr:from>
    <cdr:to>
      <cdr:x>0.32388</cdr:x>
      <cdr:y>0.09534</cdr:y>
    </cdr:to>
    <cdr:sp macro="" textlink="">
      <cdr:nvSpPr>
        <cdr:cNvPr id="3" name="Rettangolo 2"/>
        <cdr:cNvSpPr/>
      </cdr:nvSpPr>
      <cdr:spPr>
        <a:xfrm xmlns:a="http://schemas.openxmlformats.org/drawingml/2006/main">
          <a:off x="1423174" y="161448"/>
          <a:ext cx="559009" cy="152941"/>
        </a:xfrm>
        <a:prstGeom xmlns:a="http://schemas.openxmlformats.org/drawingml/2006/main" prst="rect">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Huawei</a:t>
          </a:r>
        </a:p>
      </cdr:txBody>
    </cdr:sp>
  </cdr:relSizeAnchor>
  <cdr:relSizeAnchor xmlns:cdr="http://schemas.openxmlformats.org/drawingml/2006/chartDrawing">
    <cdr:from>
      <cdr:x>0.23119</cdr:x>
      <cdr:y>0.29951</cdr:y>
    </cdr:from>
    <cdr:to>
      <cdr:x>0.29616</cdr:x>
      <cdr:y>0.35255</cdr:y>
    </cdr:to>
    <cdr:sp macro="" textlink="">
      <cdr:nvSpPr>
        <cdr:cNvPr id="4" name="Rettangolo 3"/>
        <cdr:cNvSpPr/>
      </cdr:nvSpPr>
      <cdr:spPr>
        <a:xfrm xmlns:a="http://schemas.openxmlformats.org/drawingml/2006/main">
          <a:off x="1271044" y="987651"/>
          <a:ext cx="357178" cy="174902"/>
        </a:xfrm>
        <a:prstGeom xmlns:a="http://schemas.openxmlformats.org/drawingml/2006/main" prst="rect">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ZTE</a:t>
          </a:r>
        </a:p>
      </cdr:txBody>
    </cdr:sp>
  </cdr:relSizeAnchor>
  <cdr:relSizeAnchor xmlns:cdr="http://schemas.openxmlformats.org/drawingml/2006/chartDrawing">
    <cdr:from>
      <cdr:x>0.07308</cdr:x>
      <cdr:y>0.29508</cdr:y>
    </cdr:from>
    <cdr:to>
      <cdr:x>0.14701</cdr:x>
      <cdr:y>0.34812</cdr:y>
    </cdr:to>
    <cdr:sp macro="" textlink="">
      <cdr:nvSpPr>
        <cdr:cNvPr id="5" name="Rettangolo 4"/>
        <cdr:cNvSpPr/>
      </cdr:nvSpPr>
      <cdr:spPr>
        <a:xfrm xmlns:a="http://schemas.openxmlformats.org/drawingml/2006/main">
          <a:off x="401781" y="973043"/>
          <a:ext cx="406431" cy="174902"/>
        </a:xfrm>
        <a:prstGeom xmlns:a="http://schemas.openxmlformats.org/drawingml/2006/main" prst="rect">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ICBC</a:t>
          </a:r>
        </a:p>
      </cdr:txBody>
    </cdr:sp>
  </cdr:relSizeAnchor>
  <cdr:relSizeAnchor xmlns:cdr="http://schemas.openxmlformats.org/drawingml/2006/chartDrawing">
    <cdr:from>
      <cdr:x>0.22849</cdr:x>
      <cdr:y>0.40594</cdr:y>
    </cdr:from>
    <cdr:to>
      <cdr:x>0.36918</cdr:x>
      <cdr:y>0.46359</cdr:y>
    </cdr:to>
    <cdr:sp macro="" textlink="">
      <cdr:nvSpPr>
        <cdr:cNvPr id="6" name="Rettangolo 5"/>
        <cdr:cNvSpPr/>
      </cdr:nvSpPr>
      <cdr:spPr>
        <a:xfrm xmlns:a="http://schemas.openxmlformats.org/drawingml/2006/main">
          <a:off x="1398389" y="1338609"/>
          <a:ext cx="861064" cy="190105"/>
        </a:xfrm>
        <a:prstGeom xmlns:a="http://schemas.openxmlformats.org/drawingml/2006/main" prst="rect">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Bank</a:t>
          </a:r>
          <a:r>
            <a:rPr lang="it-IT" sz="800" baseline="0">
              <a:solidFill>
                <a:srgbClr val="000000"/>
              </a:solidFill>
            </a:rPr>
            <a:t> of </a:t>
          </a:r>
          <a:r>
            <a:rPr lang="it-IT" sz="800">
              <a:solidFill>
                <a:srgbClr val="000000"/>
              </a:solidFill>
            </a:rPr>
            <a:t>China</a:t>
          </a:r>
        </a:p>
      </cdr:txBody>
    </cdr:sp>
  </cdr:relSizeAnchor>
  <cdr:relSizeAnchor xmlns:cdr="http://schemas.openxmlformats.org/drawingml/2006/chartDrawing">
    <cdr:from>
      <cdr:x>0.28659</cdr:x>
      <cdr:y>0.68532</cdr:y>
    </cdr:from>
    <cdr:to>
      <cdr:x>0.35376</cdr:x>
      <cdr:y>0.73836</cdr:y>
    </cdr:to>
    <cdr:sp macro="" textlink="">
      <cdr:nvSpPr>
        <cdr:cNvPr id="7" name="Rettangolo 6"/>
        <cdr:cNvSpPr/>
      </cdr:nvSpPr>
      <cdr:spPr>
        <a:xfrm xmlns:a="http://schemas.openxmlformats.org/drawingml/2006/main">
          <a:off x="1753968" y="2259880"/>
          <a:ext cx="411096" cy="174903"/>
        </a:xfrm>
        <a:prstGeom xmlns:a="http://schemas.openxmlformats.org/drawingml/2006/main" prst="rect">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SAIC</a:t>
          </a:r>
        </a:p>
      </cdr:txBody>
    </cdr:sp>
  </cdr:relSizeAnchor>
</c:userShapes>
</file>

<file path=word/drawings/drawing2.xml><?xml version="1.0" encoding="utf-8"?>
<c:userShapes xmlns:c="http://schemas.openxmlformats.org/drawingml/2006/chart">
  <cdr:relSizeAnchor xmlns:cdr="http://schemas.openxmlformats.org/drawingml/2006/chartDrawing">
    <cdr:from>
      <cdr:x>0.86092</cdr:x>
      <cdr:y>0.20195</cdr:y>
    </cdr:from>
    <cdr:to>
      <cdr:x>0.9527</cdr:x>
      <cdr:y>0.29131</cdr:y>
    </cdr:to>
    <cdr:sp macro="" textlink="">
      <cdr:nvSpPr>
        <cdr:cNvPr id="2" name="Rettangolo 1"/>
        <cdr:cNvSpPr/>
      </cdr:nvSpPr>
      <cdr:spPr>
        <a:xfrm xmlns:a="http://schemas.openxmlformats.org/drawingml/2006/main">
          <a:off x="4921251" y="642088"/>
          <a:ext cx="524639" cy="284109"/>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Tata Group</a:t>
          </a:r>
        </a:p>
      </cdr:txBody>
    </cdr:sp>
  </cdr:relSizeAnchor>
  <cdr:relSizeAnchor xmlns:cdr="http://schemas.openxmlformats.org/drawingml/2006/chartDrawing">
    <cdr:from>
      <cdr:x>0.68659</cdr:x>
      <cdr:y>0.5678</cdr:y>
    </cdr:from>
    <cdr:to>
      <cdr:x>0.78744</cdr:x>
      <cdr:y>0.61601</cdr:y>
    </cdr:to>
    <cdr:sp macro="" textlink="">
      <cdr:nvSpPr>
        <cdr:cNvPr id="3" name="Rettangolo 2"/>
        <cdr:cNvSpPr/>
      </cdr:nvSpPr>
      <cdr:spPr>
        <a:xfrm xmlns:a="http://schemas.openxmlformats.org/drawingml/2006/main">
          <a:off x="3924733" y="1805289"/>
          <a:ext cx="576475" cy="153296"/>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Reliance</a:t>
          </a:r>
        </a:p>
      </cdr:txBody>
    </cdr:sp>
  </cdr:relSizeAnchor>
  <cdr:relSizeAnchor xmlns:cdr="http://schemas.openxmlformats.org/drawingml/2006/chartDrawing">
    <cdr:from>
      <cdr:x>0.57038</cdr:x>
      <cdr:y>0.41038</cdr:y>
    </cdr:from>
    <cdr:to>
      <cdr:x>0.72861</cdr:x>
      <cdr:y>0.46016</cdr:y>
    </cdr:to>
    <cdr:sp macro="" textlink="">
      <cdr:nvSpPr>
        <cdr:cNvPr id="4" name="Rettangolo 3"/>
        <cdr:cNvSpPr/>
      </cdr:nvSpPr>
      <cdr:spPr>
        <a:xfrm xmlns:a="http://schemas.openxmlformats.org/drawingml/2006/main">
          <a:off x="3260446" y="1304780"/>
          <a:ext cx="904499" cy="158259"/>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Mahindra Group</a:t>
          </a:r>
        </a:p>
      </cdr:txBody>
    </cdr:sp>
  </cdr:relSizeAnchor>
  <cdr:relSizeAnchor xmlns:cdr="http://schemas.openxmlformats.org/drawingml/2006/chartDrawing">
    <cdr:from>
      <cdr:x>0.40957</cdr:x>
      <cdr:y>0.61659</cdr:y>
    </cdr:from>
    <cdr:to>
      <cdr:x>0.52633</cdr:x>
      <cdr:y>0.66982</cdr:y>
    </cdr:to>
    <cdr:sp macro="" textlink="">
      <cdr:nvSpPr>
        <cdr:cNvPr id="5" name="Rettangolo 4"/>
        <cdr:cNvSpPr/>
      </cdr:nvSpPr>
      <cdr:spPr>
        <a:xfrm xmlns:a="http://schemas.openxmlformats.org/drawingml/2006/main">
          <a:off x="2341213" y="1960414"/>
          <a:ext cx="667458" cy="169253"/>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Moser</a:t>
          </a:r>
          <a:r>
            <a:rPr lang="it-IT" sz="800" baseline="0">
              <a:solidFill>
                <a:srgbClr val="000000"/>
              </a:solidFill>
            </a:rPr>
            <a:t> Baer</a:t>
          </a:r>
          <a:endParaRPr lang="it-IT" sz="800">
            <a:solidFill>
              <a:srgbClr val="000000"/>
            </a:solidFill>
          </a:endParaRPr>
        </a:p>
      </cdr:txBody>
    </cdr:sp>
  </cdr:relSizeAnchor>
  <cdr:relSizeAnchor xmlns:cdr="http://schemas.openxmlformats.org/drawingml/2006/chartDrawing">
    <cdr:from>
      <cdr:x>0.33524</cdr:x>
      <cdr:y>0.71858</cdr:y>
    </cdr:from>
    <cdr:to>
      <cdr:x>0.47164</cdr:x>
      <cdr:y>0.77002</cdr:y>
    </cdr:to>
    <cdr:sp macro="" textlink="">
      <cdr:nvSpPr>
        <cdr:cNvPr id="6" name="Rettangolo 5"/>
        <cdr:cNvSpPr/>
      </cdr:nvSpPr>
      <cdr:spPr>
        <a:xfrm xmlns:a="http://schemas.openxmlformats.org/drawingml/2006/main">
          <a:off x="1916322" y="2284686"/>
          <a:ext cx="779683" cy="163546"/>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GMR Group</a:t>
          </a:r>
        </a:p>
      </cdr:txBody>
    </cdr:sp>
  </cdr:relSizeAnchor>
  <cdr:relSizeAnchor xmlns:cdr="http://schemas.openxmlformats.org/drawingml/2006/chartDrawing">
    <cdr:from>
      <cdr:x>0.27984</cdr:x>
      <cdr:y>0.41907</cdr:y>
    </cdr:from>
    <cdr:to>
      <cdr:x>0.35811</cdr:x>
      <cdr:y>0.46016</cdr:y>
    </cdr:to>
    <cdr:sp macro="" textlink="">
      <cdr:nvSpPr>
        <cdr:cNvPr id="7" name="Rettangolo 6"/>
        <cdr:cNvSpPr/>
      </cdr:nvSpPr>
      <cdr:spPr>
        <a:xfrm xmlns:a="http://schemas.openxmlformats.org/drawingml/2006/main">
          <a:off x="1599640" y="1332410"/>
          <a:ext cx="447435" cy="13063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Wipro</a:t>
          </a:r>
        </a:p>
      </cdr:txBody>
    </cdr:sp>
  </cdr:relSizeAnchor>
  <cdr:relSizeAnchor xmlns:cdr="http://schemas.openxmlformats.org/drawingml/2006/chartDrawing">
    <cdr:from>
      <cdr:x>0.16632</cdr:x>
      <cdr:y>0.51237</cdr:y>
    </cdr:from>
    <cdr:to>
      <cdr:x>0.34779</cdr:x>
      <cdr:y>0.56221</cdr:y>
    </cdr:to>
    <cdr:sp macro="" textlink="">
      <cdr:nvSpPr>
        <cdr:cNvPr id="8" name="Rettangolo 7"/>
        <cdr:cNvSpPr/>
      </cdr:nvSpPr>
      <cdr:spPr>
        <a:xfrm xmlns:a="http://schemas.openxmlformats.org/drawingml/2006/main">
          <a:off x="950729" y="1629052"/>
          <a:ext cx="1037353" cy="158452"/>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t-IT" sz="800">
              <a:solidFill>
                <a:srgbClr val="000000"/>
              </a:solidFill>
            </a:rPr>
            <a:t>Value Point</a:t>
          </a:r>
          <a:r>
            <a:rPr lang="it-IT" sz="800" baseline="0">
              <a:solidFill>
                <a:srgbClr val="000000"/>
              </a:solidFill>
            </a:rPr>
            <a:t> Systems</a:t>
          </a:r>
          <a:endParaRPr lang="it-IT" sz="800">
            <a:solidFill>
              <a:srgbClr val="000000"/>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Caledonia">
    <w:panose1 w:val="00000000000000000000"/>
    <w:charset w:val="00"/>
    <w:family w:val="roman"/>
    <w:notTrueType/>
    <w:pitch w:val="default"/>
    <w:sig w:usb0="00000003" w:usb1="00000000" w:usb2="00000000" w:usb3="00000000" w:csb0="00000001" w:csb1="00000000"/>
  </w:font>
  <w:font w:name="AdvPS8585">
    <w:panose1 w:val="00000000000000000000"/>
    <w:charset w:val="00"/>
    <w:family w:val="roman"/>
    <w:notTrueType/>
    <w:pitch w:val="default"/>
    <w:sig w:usb0="00000003" w:usb1="00000000" w:usb2="00000000" w:usb3="00000000" w:csb0="00000001" w:csb1="00000000"/>
  </w:font>
  <w:font w:name="AdvPS8588">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858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57"/>
    <w:rsid w:val="006B2BC6"/>
    <w:rsid w:val="007B69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38688D09B4CAD9F9D45277048904C">
    <w:name w:val="F0438688D09B4CAD9F9D45277048904C"/>
    <w:rsid w:val="007B6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3DBD-847B-4C46-ABE8-5904EF59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7222</Words>
  <Characters>44055</Characters>
  <Application>Microsoft Office Word</Application>
  <DocSecurity>0</DocSecurity>
  <Lines>367</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UPO</Company>
  <LinksUpToDate>false</LinksUpToDate>
  <CharactersWithSpaces>51175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pga</cp:lastModifiedBy>
  <cp:revision>2</cp:revision>
  <dcterms:created xsi:type="dcterms:W3CDTF">2014-10-06T23:00:00Z</dcterms:created>
  <dcterms:modified xsi:type="dcterms:W3CDTF">2014-10-06T23:00:00Z</dcterms:modified>
</cp:coreProperties>
</file>